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84"/>
        <w:gridCol w:w="1281"/>
        <w:gridCol w:w="1514"/>
        <w:gridCol w:w="240"/>
        <w:gridCol w:w="2549"/>
        <w:gridCol w:w="945"/>
        <w:gridCol w:w="211"/>
        <w:gridCol w:w="1154"/>
      </w:tblGrid>
      <w:tr w14:paraId="6C8D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157" w:type="dxa"/>
            <w:tcBorders>
              <w:top w:val="nil"/>
              <w:left w:val="nil"/>
              <w:bottom w:val="nil"/>
              <w:right w:val="nil"/>
            </w:tcBorders>
            <w:vAlign w:val="bottom"/>
          </w:tcPr>
          <w:p w14:paraId="19F3B9B2">
            <w:pPr>
              <w:pStyle w:val="28"/>
            </w:pPr>
          </w:p>
        </w:tc>
        <w:tc>
          <w:tcPr>
            <w:tcW w:w="1365" w:type="dxa"/>
            <w:gridSpan w:val="2"/>
            <w:tcBorders>
              <w:top w:val="nil"/>
              <w:left w:val="nil"/>
              <w:bottom w:val="nil"/>
              <w:right w:val="nil"/>
            </w:tcBorders>
            <w:vAlign w:val="bottom"/>
          </w:tcPr>
          <w:p w14:paraId="3627B24A">
            <w:pPr>
              <w:pStyle w:val="28"/>
              <w:rPr>
                <w:b/>
                <w:bCs/>
              </w:rPr>
            </w:pPr>
          </w:p>
        </w:tc>
        <w:tc>
          <w:tcPr>
            <w:tcW w:w="4303" w:type="dxa"/>
            <w:gridSpan w:val="3"/>
            <w:tcBorders>
              <w:top w:val="nil"/>
              <w:left w:val="nil"/>
              <w:bottom w:val="nil"/>
              <w:right w:val="nil"/>
            </w:tcBorders>
            <w:vAlign w:val="bottom"/>
          </w:tcPr>
          <w:p w14:paraId="2BEF8572">
            <w:pPr>
              <w:pStyle w:val="28"/>
            </w:pPr>
          </w:p>
        </w:tc>
        <w:tc>
          <w:tcPr>
            <w:tcW w:w="945" w:type="dxa"/>
            <w:tcBorders>
              <w:top w:val="nil"/>
              <w:left w:val="nil"/>
              <w:bottom w:val="nil"/>
              <w:right w:val="nil"/>
            </w:tcBorders>
            <w:vAlign w:val="bottom"/>
          </w:tcPr>
          <w:p w14:paraId="1EDF219C">
            <w:pPr>
              <w:pStyle w:val="28"/>
            </w:pPr>
          </w:p>
        </w:tc>
        <w:tc>
          <w:tcPr>
            <w:tcW w:w="1365" w:type="dxa"/>
            <w:gridSpan w:val="2"/>
            <w:tcBorders>
              <w:top w:val="nil"/>
              <w:left w:val="nil"/>
              <w:bottom w:val="nil"/>
              <w:right w:val="nil"/>
            </w:tcBorders>
            <w:vAlign w:val="bottom"/>
          </w:tcPr>
          <w:p w14:paraId="7119242D">
            <w:pPr>
              <w:pStyle w:val="28"/>
            </w:pPr>
          </w:p>
        </w:tc>
      </w:tr>
      <w:tr w14:paraId="0677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157" w:type="dxa"/>
            <w:tcBorders>
              <w:top w:val="nil"/>
              <w:left w:val="nil"/>
              <w:bottom w:val="nil"/>
              <w:right w:val="nil"/>
            </w:tcBorders>
            <w:vAlign w:val="bottom"/>
          </w:tcPr>
          <w:p w14:paraId="176321F1">
            <w:pPr>
              <w:pStyle w:val="28"/>
            </w:pPr>
          </w:p>
        </w:tc>
        <w:tc>
          <w:tcPr>
            <w:tcW w:w="1365" w:type="dxa"/>
            <w:gridSpan w:val="2"/>
            <w:tcBorders>
              <w:top w:val="nil"/>
              <w:left w:val="nil"/>
              <w:bottom w:val="nil"/>
              <w:right w:val="nil"/>
            </w:tcBorders>
            <w:vAlign w:val="bottom"/>
          </w:tcPr>
          <w:p w14:paraId="5119D4EB">
            <w:pPr>
              <w:pStyle w:val="28"/>
            </w:pPr>
          </w:p>
        </w:tc>
        <w:tc>
          <w:tcPr>
            <w:tcW w:w="4303" w:type="dxa"/>
            <w:gridSpan w:val="3"/>
            <w:tcBorders>
              <w:top w:val="nil"/>
              <w:left w:val="nil"/>
              <w:bottom w:val="nil"/>
              <w:right w:val="nil"/>
            </w:tcBorders>
            <w:vAlign w:val="bottom"/>
          </w:tcPr>
          <w:p w14:paraId="670A2851">
            <w:pPr>
              <w:pStyle w:val="28"/>
            </w:pPr>
          </w:p>
        </w:tc>
        <w:tc>
          <w:tcPr>
            <w:tcW w:w="945" w:type="dxa"/>
            <w:tcBorders>
              <w:top w:val="nil"/>
              <w:left w:val="nil"/>
              <w:bottom w:val="nil"/>
              <w:right w:val="nil"/>
            </w:tcBorders>
            <w:vAlign w:val="bottom"/>
          </w:tcPr>
          <w:p w14:paraId="0BB98950">
            <w:pPr>
              <w:pStyle w:val="28"/>
            </w:pPr>
          </w:p>
        </w:tc>
        <w:tc>
          <w:tcPr>
            <w:tcW w:w="1365" w:type="dxa"/>
            <w:gridSpan w:val="2"/>
            <w:tcBorders>
              <w:top w:val="nil"/>
              <w:left w:val="nil"/>
              <w:bottom w:val="nil"/>
              <w:right w:val="nil"/>
            </w:tcBorders>
            <w:vAlign w:val="bottom"/>
          </w:tcPr>
          <w:p w14:paraId="67D58C64">
            <w:pPr>
              <w:pStyle w:val="28"/>
            </w:pPr>
          </w:p>
        </w:tc>
      </w:tr>
      <w:tr w14:paraId="67D5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9135" w:type="dxa"/>
            <w:gridSpan w:val="9"/>
            <w:tcBorders>
              <w:top w:val="nil"/>
              <w:left w:val="nil"/>
              <w:bottom w:val="nil"/>
              <w:right w:val="nil"/>
            </w:tcBorders>
          </w:tcPr>
          <w:p w14:paraId="3A0EE0E1">
            <w:pPr>
              <w:pStyle w:val="28"/>
              <w:rPr>
                <w:sz w:val="44"/>
              </w:rPr>
            </w:pPr>
          </w:p>
        </w:tc>
      </w:tr>
      <w:tr w14:paraId="6FEC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9135" w:type="dxa"/>
            <w:gridSpan w:val="9"/>
            <w:tcBorders>
              <w:top w:val="nil"/>
              <w:left w:val="nil"/>
              <w:bottom w:val="nil"/>
              <w:right w:val="nil"/>
            </w:tcBorders>
          </w:tcPr>
          <w:p w14:paraId="13C461E9">
            <w:pPr>
              <w:pStyle w:val="31"/>
              <w:rPr>
                <w:rFonts w:hint="eastAsia" w:ascii="微软雅黑" w:hAnsi="微软雅黑" w:eastAsia="微软雅黑" w:cs="微软雅黑"/>
                <w:b/>
                <w:color w:val="000000"/>
              </w:rPr>
            </w:pPr>
            <w:r>
              <w:rPr>
                <w:rFonts w:hint="eastAsia" w:ascii="微软雅黑" w:hAnsi="微软雅黑" w:eastAsia="微软雅黑" w:cs="微软雅黑"/>
                <w:b/>
                <w:color w:val="000000"/>
                <w:sz w:val="56"/>
                <w:szCs w:val="56"/>
              </w:rPr>
              <w:t>202</w:t>
            </w:r>
            <w:r>
              <w:rPr>
                <w:rFonts w:hint="eastAsia" w:ascii="微软雅黑" w:hAnsi="微软雅黑" w:eastAsia="微软雅黑" w:cs="微软雅黑"/>
                <w:b/>
                <w:color w:val="000000"/>
                <w:sz w:val="56"/>
                <w:szCs w:val="56"/>
                <w:lang w:val="en-US" w:eastAsia="zh-CN"/>
              </w:rPr>
              <w:t>4</w:t>
            </w:r>
            <w:r>
              <w:rPr>
                <w:rFonts w:hint="eastAsia" w:ascii="微软雅黑" w:hAnsi="微软雅黑" w:eastAsia="微软雅黑" w:cs="微软雅黑"/>
                <w:b/>
                <w:color w:val="000000"/>
                <w:sz w:val="56"/>
                <w:szCs w:val="56"/>
              </w:rPr>
              <w:t>级</w:t>
            </w:r>
            <w:r>
              <w:rPr>
                <w:rFonts w:hint="eastAsia" w:ascii="微软雅黑" w:hAnsi="微软雅黑" w:eastAsia="微软雅黑" w:cs="微软雅黑"/>
                <w:b/>
                <w:color w:val="000000"/>
                <w:sz w:val="56"/>
                <w:szCs w:val="56"/>
                <w:lang w:val="en-US" w:eastAsia="zh-CN"/>
              </w:rPr>
              <w:t>食品加工工艺</w:t>
            </w:r>
            <w:r>
              <w:rPr>
                <w:rFonts w:hint="eastAsia" w:ascii="微软雅黑" w:hAnsi="微软雅黑" w:eastAsia="微软雅黑" w:cs="微软雅黑"/>
                <w:b/>
                <w:color w:val="000000"/>
                <w:sz w:val="56"/>
                <w:szCs w:val="56"/>
              </w:rPr>
              <w:t>专业</w:t>
            </w:r>
          </w:p>
        </w:tc>
      </w:tr>
      <w:tr w14:paraId="0A65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9135" w:type="dxa"/>
            <w:gridSpan w:val="9"/>
            <w:tcBorders>
              <w:top w:val="nil"/>
              <w:left w:val="nil"/>
              <w:bottom w:val="nil"/>
              <w:right w:val="nil"/>
            </w:tcBorders>
          </w:tcPr>
          <w:p w14:paraId="6B9691D4">
            <w:pPr>
              <w:adjustRightInd w:val="0"/>
              <w:snapToGrid w:val="0"/>
              <w:jc w:val="center"/>
              <w:rPr>
                <w:rFonts w:hint="eastAsia" w:ascii="微软雅黑" w:hAnsi="微软雅黑" w:eastAsia="微软雅黑" w:cs="微软雅黑"/>
                <w:color w:val="000000"/>
                <w:sz w:val="44"/>
              </w:rPr>
            </w:pPr>
            <w:r>
              <w:rPr>
                <w:rFonts w:hint="eastAsia" w:ascii="微软雅黑" w:hAnsi="微软雅黑" w:eastAsia="微软雅黑" w:cs="微软雅黑"/>
                <w:b/>
                <w:color w:val="000000"/>
                <w:sz w:val="84"/>
                <w:szCs w:val="84"/>
              </w:rPr>
              <w:t>人才培养方案</w:t>
            </w:r>
          </w:p>
        </w:tc>
      </w:tr>
      <w:tr w14:paraId="22FE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9135" w:type="dxa"/>
            <w:gridSpan w:val="9"/>
            <w:tcBorders>
              <w:top w:val="nil"/>
              <w:left w:val="nil"/>
              <w:bottom w:val="nil"/>
              <w:right w:val="nil"/>
            </w:tcBorders>
          </w:tcPr>
          <w:p w14:paraId="7023A85D">
            <w:pPr>
              <w:pStyle w:val="30"/>
            </w:pPr>
          </w:p>
        </w:tc>
      </w:tr>
      <w:tr w14:paraId="4098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restart"/>
            <w:tcBorders>
              <w:top w:val="nil"/>
              <w:left w:val="nil"/>
              <w:bottom w:val="nil"/>
              <w:right w:val="nil"/>
            </w:tcBorders>
            <w:vAlign w:val="center"/>
          </w:tcPr>
          <w:p w14:paraId="2ABE93C2">
            <w:pPr>
              <w:adjustRightInd w:val="0"/>
              <w:snapToGrid w:val="0"/>
              <w:rPr>
                <w:rFonts w:eastAsia="楷体_GB2312"/>
                <w:color w:val="000000"/>
                <w:sz w:val="52"/>
              </w:rPr>
            </w:pPr>
          </w:p>
        </w:tc>
        <w:tc>
          <w:tcPr>
            <w:tcW w:w="2795" w:type="dxa"/>
            <w:gridSpan w:val="2"/>
            <w:tcBorders>
              <w:top w:val="nil"/>
              <w:left w:val="nil"/>
              <w:bottom w:val="nil"/>
              <w:right w:val="nil"/>
            </w:tcBorders>
            <w:vAlign w:val="center"/>
          </w:tcPr>
          <w:p w14:paraId="6C374EBE">
            <w:pPr>
              <w:pStyle w:val="32"/>
              <w:ind w:firstLine="0" w:firstLineChars="0"/>
              <w:jc w:val="right"/>
            </w:pPr>
            <w:r>
              <w:rPr>
                <w:rFonts w:hint="eastAsia"/>
              </w:rPr>
              <w:t>专业名称：</w:t>
            </w:r>
          </w:p>
        </w:tc>
        <w:tc>
          <w:tcPr>
            <w:tcW w:w="240" w:type="dxa"/>
            <w:tcBorders>
              <w:top w:val="nil"/>
              <w:left w:val="nil"/>
              <w:bottom w:val="nil"/>
              <w:right w:val="nil"/>
            </w:tcBorders>
            <w:vAlign w:val="center"/>
          </w:tcPr>
          <w:p w14:paraId="20D4C3FD">
            <w:pPr>
              <w:pStyle w:val="32"/>
              <w:ind w:firstLine="1960"/>
            </w:pPr>
          </w:p>
        </w:tc>
        <w:tc>
          <w:tcPr>
            <w:tcW w:w="3705" w:type="dxa"/>
            <w:gridSpan w:val="3"/>
            <w:tcBorders>
              <w:top w:val="nil"/>
              <w:left w:val="nil"/>
              <w:bottom w:val="nil"/>
              <w:right w:val="nil"/>
            </w:tcBorders>
            <w:vAlign w:val="center"/>
          </w:tcPr>
          <w:p w14:paraId="1D6F8938">
            <w:pPr>
              <w:pStyle w:val="32"/>
              <w:ind w:firstLine="0" w:firstLineChars="0"/>
              <w:rPr>
                <w:rFonts w:hint="default" w:eastAsia="宋体"/>
                <w:spacing w:val="20"/>
                <w:lang w:val="en-US" w:eastAsia="zh-CN"/>
              </w:rPr>
            </w:pPr>
            <w:r>
              <w:rPr>
                <w:rFonts w:hint="eastAsia"/>
                <w:spacing w:val="20"/>
                <w:u w:val="single"/>
                <w:lang w:val="en-US" w:eastAsia="zh-CN"/>
              </w:rPr>
              <w:t>食品加工工艺</w:t>
            </w:r>
          </w:p>
        </w:tc>
        <w:tc>
          <w:tcPr>
            <w:tcW w:w="1154" w:type="dxa"/>
            <w:vMerge w:val="restart"/>
            <w:tcBorders>
              <w:top w:val="nil"/>
              <w:left w:val="nil"/>
              <w:bottom w:val="nil"/>
              <w:right w:val="nil"/>
            </w:tcBorders>
            <w:vAlign w:val="center"/>
          </w:tcPr>
          <w:p w14:paraId="5AEFE7AF">
            <w:pPr>
              <w:adjustRightInd w:val="0"/>
              <w:snapToGrid w:val="0"/>
              <w:rPr>
                <w:rFonts w:eastAsia="楷体_GB2312"/>
                <w:color w:val="000000"/>
                <w:sz w:val="52"/>
              </w:rPr>
            </w:pPr>
          </w:p>
        </w:tc>
      </w:tr>
      <w:tr w14:paraId="63A3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continue"/>
            <w:tcBorders>
              <w:top w:val="nil"/>
              <w:left w:val="nil"/>
              <w:bottom w:val="nil"/>
              <w:right w:val="nil"/>
            </w:tcBorders>
            <w:vAlign w:val="center"/>
          </w:tcPr>
          <w:p w14:paraId="22BFF1E8">
            <w:pPr>
              <w:widowControl/>
              <w:jc w:val="left"/>
              <w:rPr>
                <w:rFonts w:eastAsia="楷体_GB2312"/>
                <w:color w:val="000000"/>
                <w:sz w:val="52"/>
              </w:rPr>
            </w:pPr>
          </w:p>
        </w:tc>
        <w:tc>
          <w:tcPr>
            <w:tcW w:w="2795" w:type="dxa"/>
            <w:gridSpan w:val="2"/>
            <w:tcBorders>
              <w:top w:val="nil"/>
              <w:left w:val="nil"/>
              <w:bottom w:val="nil"/>
              <w:right w:val="nil"/>
            </w:tcBorders>
            <w:vAlign w:val="center"/>
          </w:tcPr>
          <w:p w14:paraId="38B0091B">
            <w:pPr>
              <w:pStyle w:val="32"/>
              <w:ind w:firstLine="0" w:firstLineChars="0"/>
              <w:jc w:val="right"/>
            </w:pPr>
            <w:r>
              <w:rPr>
                <w:rFonts w:hint="eastAsia"/>
              </w:rPr>
              <w:t>专业代码：</w:t>
            </w:r>
          </w:p>
        </w:tc>
        <w:tc>
          <w:tcPr>
            <w:tcW w:w="240" w:type="dxa"/>
            <w:tcBorders>
              <w:top w:val="nil"/>
              <w:left w:val="nil"/>
              <w:bottom w:val="nil"/>
              <w:right w:val="nil"/>
            </w:tcBorders>
            <w:vAlign w:val="center"/>
          </w:tcPr>
          <w:p w14:paraId="545A10A6">
            <w:pPr>
              <w:pStyle w:val="32"/>
              <w:ind w:firstLine="1960"/>
            </w:pPr>
          </w:p>
        </w:tc>
        <w:tc>
          <w:tcPr>
            <w:tcW w:w="3705" w:type="dxa"/>
            <w:gridSpan w:val="3"/>
            <w:tcBorders>
              <w:top w:val="nil"/>
              <w:left w:val="nil"/>
              <w:bottom w:val="nil"/>
              <w:right w:val="nil"/>
            </w:tcBorders>
            <w:vAlign w:val="center"/>
          </w:tcPr>
          <w:p w14:paraId="1E3D80DB">
            <w:pPr>
              <w:pStyle w:val="32"/>
              <w:ind w:firstLine="0" w:firstLineChars="0"/>
              <w:rPr>
                <w:rFonts w:hint="default" w:eastAsia="宋体"/>
                <w:spacing w:val="20"/>
                <w:lang w:val="en-US" w:eastAsia="zh-CN"/>
              </w:rPr>
            </w:pPr>
            <w:r>
              <w:rPr>
                <w:rFonts w:hint="eastAsia" w:ascii="宋体" w:hAnsi="宋体"/>
                <w:u w:val="single"/>
                <w:lang w:val="en-US" w:eastAsia="zh-CN"/>
              </w:rPr>
              <w:t>690101</w:t>
            </w:r>
          </w:p>
        </w:tc>
        <w:tc>
          <w:tcPr>
            <w:tcW w:w="1154" w:type="dxa"/>
            <w:vMerge w:val="continue"/>
            <w:tcBorders>
              <w:top w:val="nil"/>
              <w:left w:val="nil"/>
              <w:bottom w:val="nil"/>
              <w:right w:val="nil"/>
            </w:tcBorders>
            <w:vAlign w:val="center"/>
          </w:tcPr>
          <w:p w14:paraId="38850F27">
            <w:pPr>
              <w:widowControl/>
              <w:jc w:val="distribute"/>
              <w:rPr>
                <w:rFonts w:eastAsia="楷体_GB2312"/>
                <w:color w:val="000000"/>
                <w:sz w:val="52"/>
              </w:rPr>
            </w:pPr>
          </w:p>
        </w:tc>
      </w:tr>
      <w:tr w14:paraId="3365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continue"/>
            <w:tcBorders>
              <w:top w:val="nil"/>
              <w:left w:val="nil"/>
              <w:bottom w:val="nil"/>
              <w:right w:val="nil"/>
            </w:tcBorders>
            <w:vAlign w:val="center"/>
          </w:tcPr>
          <w:p w14:paraId="00D5FD2F">
            <w:pPr>
              <w:widowControl/>
              <w:jc w:val="left"/>
              <w:rPr>
                <w:rFonts w:eastAsia="楷体_GB2312"/>
                <w:color w:val="000000"/>
                <w:sz w:val="52"/>
              </w:rPr>
            </w:pPr>
          </w:p>
        </w:tc>
        <w:tc>
          <w:tcPr>
            <w:tcW w:w="2795" w:type="dxa"/>
            <w:gridSpan w:val="2"/>
            <w:tcBorders>
              <w:top w:val="nil"/>
              <w:left w:val="nil"/>
              <w:bottom w:val="nil"/>
              <w:right w:val="nil"/>
            </w:tcBorders>
            <w:vAlign w:val="center"/>
          </w:tcPr>
          <w:p w14:paraId="2C5EA827">
            <w:pPr>
              <w:pStyle w:val="32"/>
              <w:ind w:firstLine="0" w:firstLineChars="0"/>
              <w:jc w:val="right"/>
            </w:pPr>
            <w:r>
              <w:rPr>
                <w:rFonts w:hint="eastAsia"/>
              </w:rPr>
              <w:t>制订时间：</w:t>
            </w:r>
          </w:p>
        </w:tc>
        <w:tc>
          <w:tcPr>
            <w:tcW w:w="240" w:type="dxa"/>
            <w:tcBorders>
              <w:top w:val="nil"/>
              <w:left w:val="nil"/>
              <w:bottom w:val="nil"/>
              <w:right w:val="nil"/>
            </w:tcBorders>
            <w:vAlign w:val="center"/>
          </w:tcPr>
          <w:p w14:paraId="46659CDC">
            <w:pPr>
              <w:pStyle w:val="32"/>
              <w:ind w:firstLine="1960"/>
            </w:pPr>
            <w:r>
              <w:rPr>
                <w:rFonts w:hint="eastAsia"/>
              </w:rPr>
              <w:t>：</w:t>
            </w:r>
          </w:p>
        </w:tc>
        <w:tc>
          <w:tcPr>
            <w:tcW w:w="3705" w:type="dxa"/>
            <w:gridSpan w:val="3"/>
            <w:tcBorders>
              <w:top w:val="nil"/>
              <w:left w:val="nil"/>
              <w:bottom w:val="nil"/>
              <w:right w:val="nil"/>
            </w:tcBorders>
            <w:vAlign w:val="center"/>
          </w:tcPr>
          <w:p w14:paraId="433F8E35">
            <w:pPr>
              <w:pStyle w:val="32"/>
              <w:ind w:firstLine="0" w:firstLineChars="0"/>
              <w:rPr>
                <w:spacing w:val="20"/>
              </w:rPr>
            </w:pPr>
            <w:r>
              <w:rPr>
                <w:rFonts w:hint="eastAsia"/>
                <w:spacing w:val="20"/>
                <w:u w:val="single"/>
              </w:rPr>
              <w:t>2024年3月</w:t>
            </w:r>
          </w:p>
        </w:tc>
        <w:tc>
          <w:tcPr>
            <w:tcW w:w="1154" w:type="dxa"/>
            <w:vMerge w:val="continue"/>
            <w:tcBorders>
              <w:top w:val="nil"/>
              <w:left w:val="nil"/>
              <w:bottom w:val="nil"/>
              <w:right w:val="nil"/>
            </w:tcBorders>
            <w:vAlign w:val="center"/>
          </w:tcPr>
          <w:p w14:paraId="783F6729">
            <w:pPr>
              <w:widowControl/>
              <w:jc w:val="distribute"/>
              <w:rPr>
                <w:rFonts w:eastAsia="楷体_GB2312"/>
                <w:color w:val="000000"/>
                <w:sz w:val="52"/>
              </w:rPr>
            </w:pPr>
          </w:p>
        </w:tc>
      </w:tr>
      <w:tr w14:paraId="3275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0" w:hRule="atLeast"/>
          <w:jc w:val="center"/>
        </w:trPr>
        <w:tc>
          <w:tcPr>
            <w:tcW w:w="1241" w:type="dxa"/>
            <w:gridSpan w:val="2"/>
            <w:vMerge w:val="continue"/>
            <w:tcBorders>
              <w:top w:val="nil"/>
              <w:left w:val="nil"/>
              <w:bottom w:val="nil"/>
              <w:right w:val="nil"/>
            </w:tcBorders>
            <w:vAlign w:val="center"/>
          </w:tcPr>
          <w:p w14:paraId="577601EF">
            <w:pPr>
              <w:widowControl/>
              <w:jc w:val="left"/>
              <w:rPr>
                <w:rFonts w:eastAsia="楷体_GB2312"/>
                <w:color w:val="000000"/>
                <w:sz w:val="52"/>
              </w:rPr>
            </w:pPr>
          </w:p>
        </w:tc>
        <w:tc>
          <w:tcPr>
            <w:tcW w:w="2795" w:type="dxa"/>
            <w:gridSpan w:val="2"/>
            <w:tcBorders>
              <w:top w:val="nil"/>
              <w:left w:val="nil"/>
              <w:bottom w:val="nil"/>
              <w:right w:val="nil"/>
            </w:tcBorders>
            <w:vAlign w:val="center"/>
          </w:tcPr>
          <w:p w14:paraId="6535215D">
            <w:pPr>
              <w:pStyle w:val="32"/>
              <w:ind w:firstLine="0" w:firstLineChars="0"/>
              <w:jc w:val="right"/>
            </w:pPr>
            <w:r>
              <w:rPr>
                <w:rFonts w:hint="eastAsia"/>
              </w:rPr>
              <w:t>修订时间：</w:t>
            </w:r>
          </w:p>
        </w:tc>
        <w:tc>
          <w:tcPr>
            <w:tcW w:w="240" w:type="dxa"/>
            <w:tcBorders>
              <w:top w:val="nil"/>
              <w:left w:val="nil"/>
              <w:bottom w:val="nil"/>
              <w:right w:val="nil"/>
            </w:tcBorders>
            <w:vAlign w:val="center"/>
          </w:tcPr>
          <w:p w14:paraId="424DCA12">
            <w:pPr>
              <w:pStyle w:val="32"/>
              <w:ind w:firstLine="1960"/>
            </w:pPr>
            <w:r>
              <w:rPr>
                <w:rFonts w:hint="eastAsia"/>
              </w:rPr>
              <w:t>：</w:t>
            </w:r>
          </w:p>
        </w:tc>
        <w:tc>
          <w:tcPr>
            <w:tcW w:w="3705" w:type="dxa"/>
            <w:gridSpan w:val="3"/>
            <w:tcBorders>
              <w:top w:val="nil"/>
              <w:left w:val="nil"/>
              <w:bottom w:val="nil"/>
              <w:right w:val="nil"/>
            </w:tcBorders>
            <w:vAlign w:val="center"/>
          </w:tcPr>
          <w:p w14:paraId="3D4DF3D9">
            <w:pPr>
              <w:pStyle w:val="32"/>
              <w:ind w:firstLine="0" w:firstLineChars="0"/>
              <w:rPr>
                <w:rFonts w:hint="default" w:eastAsia="宋体"/>
                <w:lang w:val="en-US" w:eastAsia="zh-CN"/>
              </w:rPr>
            </w:pPr>
            <w:r>
              <w:rPr>
                <w:rFonts w:hint="eastAsia"/>
                <w:spacing w:val="20"/>
                <w:sz w:val="24"/>
                <w:szCs w:val="24"/>
                <w:u w:val="single"/>
                <w:lang w:val="en-US" w:eastAsia="zh-CN"/>
              </w:rPr>
              <w:t>（注：2024年新申报专业）</w:t>
            </w:r>
            <w:r>
              <w:rPr>
                <w:rFonts w:hint="eastAsia"/>
                <w:spacing w:val="20"/>
                <w:u w:val="single"/>
                <w:lang w:val="en-US" w:eastAsia="zh-CN"/>
              </w:rPr>
              <w:t xml:space="preserve">        </w:t>
            </w:r>
          </w:p>
        </w:tc>
        <w:tc>
          <w:tcPr>
            <w:tcW w:w="1154" w:type="dxa"/>
            <w:vMerge w:val="continue"/>
            <w:tcBorders>
              <w:top w:val="nil"/>
              <w:left w:val="nil"/>
              <w:bottom w:val="nil"/>
              <w:right w:val="nil"/>
            </w:tcBorders>
            <w:vAlign w:val="center"/>
          </w:tcPr>
          <w:p w14:paraId="7290A777">
            <w:pPr>
              <w:widowControl/>
              <w:jc w:val="distribute"/>
              <w:rPr>
                <w:rFonts w:eastAsia="楷体_GB2312"/>
                <w:color w:val="000000"/>
                <w:sz w:val="52"/>
              </w:rPr>
            </w:pPr>
          </w:p>
        </w:tc>
      </w:tr>
      <w:tr w14:paraId="560A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241" w:type="dxa"/>
            <w:gridSpan w:val="2"/>
            <w:vMerge w:val="continue"/>
            <w:tcBorders>
              <w:top w:val="nil"/>
              <w:left w:val="nil"/>
              <w:bottom w:val="nil"/>
              <w:right w:val="nil"/>
            </w:tcBorders>
            <w:vAlign w:val="center"/>
          </w:tcPr>
          <w:p w14:paraId="61A48A72">
            <w:pPr>
              <w:widowControl/>
              <w:jc w:val="left"/>
              <w:rPr>
                <w:rFonts w:eastAsia="楷体_GB2312"/>
                <w:color w:val="000000"/>
                <w:sz w:val="52"/>
              </w:rPr>
            </w:pPr>
          </w:p>
        </w:tc>
        <w:tc>
          <w:tcPr>
            <w:tcW w:w="2795" w:type="dxa"/>
            <w:gridSpan w:val="2"/>
            <w:tcBorders>
              <w:top w:val="nil"/>
              <w:left w:val="nil"/>
              <w:bottom w:val="nil"/>
              <w:right w:val="nil"/>
            </w:tcBorders>
            <w:vAlign w:val="center"/>
          </w:tcPr>
          <w:p w14:paraId="00601C92">
            <w:pPr>
              <w:pStyle w:val="32"/>
              <w:ind w:firstLine="0" w:firstLineChars="0"/>
              <w:jc w:val="right"/>
            </w:pPr>
            <w:r>
              <w:rPr>
                <w:rFonts w:hint="eastAsia"/>
              </w:rPr>
              <w:t>制订者：</w:t>
            </w:r>
          </w:p>
        </w:tc>
        <w:tc>
          <w:tcPr>
            <w:tcW w:w="240" w:type="dxa"/>
            <w:tcBorders>
              <w:top w:val="nil"/>
              <w:left w:val="nil"/>
              <w:bottom w:val="nil"/>
              <w:right w:val="nil"/>
            </w:tcBorders>
            <w:vAlign w:val="center"/>
          </w:tcPr>
          <w:p w14:paraId="0234C8C3">
            <w:pPr>
              <w:pStyle w:val="32"/>
              <w:ind w:firstLine="1960"/>
            </w:pPr>
            <w:r>
              <w:rPr>
                <w:rFonts w:hint="eastAsia"/>
              </w:rPr>
              <w:t>：</w:t>
            </w:r>
          </w:p>
        </w:tc>
        <w:tc>
          <w:tcPr>
            <w:tcW w:w="3705" w:type="dxa"/>
            <w:gridSpan w:val="3"/>
            <w:tcBorders>
              <w:top w:val="nil"/>
              <w:left w:val="nil"/>
              <w:bottom w:val="nil"/>
              <w:right w:val="nil"/>
            </w:tcBorders>
            <w:vAlign w:val="center"/>
          </w:tcPr>
          <w:p w14:paraId="4A0EEBED">
            <w:pPr>
              <w:pStyle w:val="32"/>
              <w:ind w:firstLine="0" w:firstLineChars="0"/>
              <w:rPr>
                <w:rFonts w:hint="eastAsia"/>
                <w:u w:val="single"/>
                <w:lang w:val="en-US" w:eastAsia="zh-CN"/>
              </w:rPr>
            </w:pPr>
            <w:r>
              <w:rPr>
                <w:rFonts w:hint="eastAsia"/>
                <w:u w:val="single"/>
                <w:lang w:val="en-US" w:eastAsia="zh-CN"/>
              </w:rPr>
              <w:t>食品工程系</w:t>
            </w:r>
          </w:p>
          <w:p w14:paraId="1C1EB6DD">
            <w:pPr>
              <w:pStyle w:val="32"/>
              <w:ind w:firstLine="0" w:firstLineChars="0"/>
            </w:pPr>
            <w:r>
              <w:rPr>
                <w:rFonts w:hint="eastAsia"/>
                <w:u w:val="single"/>
                <w:lang w:val="en-US" w:eastAsia="zh-CN"/>
              </w:rPr>
              <w:t>安徽</w:t>
            </w:r>
            <w:r>
              <w:rPr>
                <w:rFonts w:hint="eastAsia"/>
                <w:u w:val="single"/>
              </w:rPr>
              <w:t>XX</w:t>
            </w:r>
            <w:r>
              <w:rPr>
                <w:rFonts w:hint="eastAsia"/>
                <w:u w:val="single"/>
                <w:lang w:val="en-US" w:eastAsia="zh-CN"/>
              </w:rPr>
              <w:t>食品加工</w:t>
            </w:r>
            <w:r>
              <w:rPr>
                <w:rFonts w:hint="eastAsia"/>
                <w:u w:val="single"/>
              </w:rPr>
              <w:t>有限公司</w:t>
            </w:r>
          </w:p>
        </w:tc>
        <w:tc>
          <w:tcPr>
            <w:tcW w:w="1154" w:type="dxa"/>
            <w:vMerge w:val="continue"/>
            <w:tcBorders>
              <w:top w:val="nil"/>
              <w:left w:val="nil"/>
              <w:bottom w:val="nil"/>
              <w:right w:val="nil"/>
            </w:tcBorders>
            <w:vAlign w:val="center"/>
          </w:tcPr>
          <w:p w14:paraId="615A08A3">
            <w:pPr>
              <w:widowControl/>
              <w:jc w:val="distribute"/>
              <w:rPr>
                <w:rFonts w:eastAsia="楷体_GB2312"/>
                <w:color w:val="000000"/>
                <w:sz w:val="52"/>
              </w:rPr>
            </w:pPr>
          </w:p>
        </w:tc>
      </w:tr>
      <w:tr w14:paraId="04AF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9135" w:type="dxa"/>
            <w:gridSpan w:val="9"/>
            <w:tcBorders>
              <w:top w:val="nil"/>
              <w:left w:val="nil"/>
              <w:bottom w:val="nil"/>
              <w:right w:val="nil"/>
            </w:tcBorders>
          </w:tcPr>
          <w:p w14:paraId="604317AE">
            <w:pPr>
              <w:pStyle w:val="29"/>
              <w:jc w:val="both"/>
            </w:pPr>
          </w:p>
          <w:p w14:paraId="08F045BB">
            <w:pPr>
              <w:pStyle w:val="29"/>
            </w:pPr>
          </w:p>
        </w:tc>
      </w:tr>
    </w:tbl>
    <w:p w14:paraId="67DAE578"/>
    <w:sdt>
      <w:sdtPr>
        <w:rPr>
          <w:rFonts w:hint="eastAsia" w:ascii="微软雅黑" w:hAnsi="微软雅黑" w:eastAsia="微软雅黑" w:cs="微软雅黑"/>
          <w:sz w:val="32"/>
          <w:szCs w:val="32"/>
        </w:rPr>
        <w:id w:val="147463647"/>
        <w:docPartObj>
          <w:docPartGallery w:val="Table of Contents"/>
          <w:docPartUnique/>
        </w:docPartObj>
      </w:sdtPr>
      <w:sdtEndPr>
        <w:rPr>
          <w:rFonts w:hint="eastAsia" w:ascii="宋体" w:hAnsi="宋体" w:eastAsia="宋体" w:cs="Times New Roman"/>
          <w:sz w:val="24"/>
          <w:szCs w:val="24"/>
        </w:rPr>
      </w:sdtEndPr>
      <w:sdtContent>
        <w:p w14:paraId="53A21591">
          <w:pPr>
            <w:keepNext w:val="0"/>
            <w:keepLines w:val="0"/>
            <w:pageBreakBefore w:val="0"/>
            <w:widowControl w:val="0"/>
            <w:kinsoku/>
            <w:wordWrap/>
            <w:overflowPunct/>
            <w:topLinePunct w:val="0"/>
            <w:bidi w:val="0"/>
            <w:spacing w:line="400" w:lineRule="exact"/>
            <w:jc w:val="center"/>
            <w:textAlignment w:val="auto"/>
            <w:rPr>
              <w:rFonts w:hint="eastAsia" w:ascii="微软雅黑" w:hAnsi="微软雅黑" w:eastAsia="微软雅黑" w:cs="微软雅黑"/>
              <w:sz w:val="32"/>
              <w:szCs w:val="32"/>
            </w:rPr>
          </w:pPr>
          <w:r>
            <w:rPr>
              <w:rFonts w:hint="eastAsia" w:ascii="微软雅黑" w:hAnsi="微软雅黑" w:eastAsia="微软雅黑" w:cs="微软雅黑"/>
              <w:sz w:val="32"/>
              <w:szCs w:val="32"/>
            </w:rPr>
            <w:t>目    录</w:t>
          </w:r>
        </w:p>
        <w:p w14:paraId="7B5775F5">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b/>
              <w:sz w:val="24"/>
            </w:rPr>
            <w:fldChar w:fldCharType="begin"/>
          </w:r>
          <w:r>
            <w:rPr>
              <w:rFonts w:hint="eastAsia" w:ascii="宋体" w:hAnsi="宋体"/>
              <w:b/>
              <w:sz w:val="24"/>
            </w:rPr>
            <w:instrText xml:space="preserve">TOC \o "1-3" \h \u </w:instrText>
          </w:r>
          <w:r>
            <w:rPr>
              <w:rFonts w:hint="eastAsia" w:ascii="宋体" w:hAnsi="宋体"/>
              <w:b/>
              <w:sz w:val="24"/>
            </w:rPr>
            <w:fldChar w:fldCharType="separate"/>
          </w:r>
          <w:r>
            <w:rPr>
              <w:rFonts w:hint="eastAsia" w:ascii="宋体" w:hAnsi="宋体"/>
            </w:rPr>
            <w:fldChar w:fldCharType="begin"/>
          </w:r>
          <w:r>
            <w:rPr>
              <w:rFonts w:hint="eastAsia" w:ascii="宋体" w:hAnsi="宋体"/>
            </w:rPr>
            <w:instrText xml:space="preserve"> HYPERLINK \l _Toc1263009172 </w:instrText>
          </w:r>
          <w:r>
            <w:rPr>
              <w:rFonts w:hint="eastAsia" w:ascii="宋体" w:hAnsi="宋体"/>
            </w:rPr>
            <w:fldChar w:fldCharType="separate"/>
          </w:r>
          <w:r>
            <w:rPr>
              <w:rFonts w:hint="eastAsia" w:ascii="黑体" w:hAnsi="黑体" w:eastAsia="黑体" w:cs="黑体"/>
              <w:bCs/>
              <w:szCs w:val="28"/>
            </w:rPr>
            <w:t>一、专业名称及代码</w:t>
          </w:r>
          <w:r>
            <w:tab/>
          </w:r>
          <w:r>
            <w:fldChar w:fldCharType="begin"/>
          </w:r>
          <w:r>
            <w:instrText xml:space="preserve"> PAGEREF _Toc1263009172 \h </w:instrText>
          </w:r>
          <w:r>
            <w:fldChar w:fldCharType="separate"/>
          </w:r>
          <w:r>
            <w:t>1</w:t>
          </w:r>
          <w:r>
            <w:fldChar w:fldCharType="end"/>
          </w:r>
          <w:r>
            <w:rPr>
              <w:rFonts w:hint="eastAsia" w:ascii="宋体" w:hAnsi="宋体"/>
            </w:rPr>
            <w:fldChar w:fldCharType="end"/>
          </w:r>
        </w:p>
        <w:p w14:paraId="63B90D48">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_Toc1666786856 </w:instrText>
          </w:r>
          <w:r>
            <w:rPr>
              <w:rFonts w:hint="eastAsia" w:ascii="宋体" w:hAnsi="宋体"/>
            </w:rPr>
            <w:fldChar w:fldCharType="separate"/>
          </w:r>
          <w:r>
            <w:rPr>
              <w:rFonts w:hint="eastAsia" w:ascii="黑体" w:hAnsi="黑体" w:eastAsia="黑体" w:cs="黑体"/>
              <w:bCs/>
              <w:szCs w:val="28"/>
            </w:rPr>
            <w:t>二、入学要求</w:t>
          </w:r>
          <w:r>
            <w:tab/>
          </w:r>
          <w:r>
            <w:fldChar w:fldCharType="begin"/>
          </w:r>
          <w:r>
            <w:instrText xml:space="preserve"> PAGEREF _Toc1666786856 \h </w:instrText>
          </w:r>
          <w:r>
            <w:fldChar w:fldCharType="separate"/>
          </w:r>
          <w:r>
            <w:t>1</w:t>
          </w:r>
          <w:r>
            <w:fldChar w:fldCharType="end"/>
          </w:r>
          <w:r>
            <w:rPr>
              <w:rFonts w:hint="eastAsia" w:ascii="宋体" w:hAnsi="宋体"/>
            </w:rPr>
            <w:fldChar w:fldCharType="end"/>
          </w:r>
        </w:p>
        <w:p w14:paraId="2B6142A3">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_Toc1909997324 </w:instrText>
          </w:r>
          <w:r>
            <w:rPr>
              <w:rFonts w:hint="eastAsia" w:ascii="宋体" w:hAnsi="宋体"/>
            </w:rPr>
            <w:fldChar w:fldCharType="separate"/>
          </w:r>
          <w:r>
            <w:rPr>
              <w:rFonts w:hint="eastAsia" w:ascii="黑体" w:hAnsi="黑体" w:eastAsia="黑体" w:cs="黑体"/>
              <w:bCs/>
              <w:szCs w:val="28"/>
            </w:rPr>
            <w:t>三、修业年限</w:t>
          </w:r>
          <w:r>
            <w:tab/>
          </w:r>
          <w:r>
            <w:fldChar w:fldCharType="begin"/>
          </w:r>
          <w:r>
            <w:instrText xml:space="preserve"> PAGEREF _Toc1909997324 \h </w:instrText>
          </w:r>
          <w:r>
            <w:fldChar w:fldCharType="separate"/>
          </w:r>
          <w:r>
            <w:t>1</w:t>
          </w:r>
          <w:r>
            <w:fldChar w:fldCharType="end"/>
          </w:r>
          <w:r>
            <w:rPr>
              <w:rFonts w:hint="eastAsia" w:ascii="宋体" w:hAnsi="宋体"/>
            </w:rPr>
            <w:fldChar w:fldCharType="end"/>
          </w:r>
        </w:p>
        <w:p w14:paraId="2FAFEB8F">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_Toc739469112 </w:instrText>
          </w:r>
          <w:r>
            <w:rPr>
              <w:rFonts w:hint="eastAsia" w:ascii="宋体" w:hAnsi="宋体"/>
            </w:rPr>
            <w:fldChar w:fldCharType="separate"/>
          </w:r>
          <w:r>
            <w:rPr>
              <w:rFonts w:hint="eastAsia" w:ascii="黑体" w:hAnsi="黑体" w:eastAsia="黑体" w:cs="黑体"/>
              <w:bCs/>
              <w:szCs w:val="28"/>
            </w:rPr>
            <w:t>四、职业面向</w:t>
          </w:r>
          <w:r>
            <w:tab/>
          </w:r>
          <w:r>
            <w:fldChar w:fldCharType="begin"/>
          </w:r>
          <w:r>
            <w:instrText xml:space="preserve"> PAGEREF _Toc739469112 \h </w:instrText>
          </w:r>
          <w:r>
            <w:fldChar w:fldCharType="separate"/>
          </w:r>
          <w:r>
            <w:t>1</w:t>
          </w:r>
          <w:r>
            <w:fldChar w:fldCharType="end"/>
          </w:r>
          <w:r>
            <w:rPr>
              <w:rFonts w:hint="eastAsia" w:ascii="宋体" w:hAnsi="宋体"/>
            </w:rPr>
            <w:fldChar w:fldCharType="end"/>
          </w:r>
        </w:p>
        <w:p w14:paraId="476833CD">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_Toc769500195 </w:instrText>
          </w:r>
          <w:r>
            <w:rPr>
              <w:rFonts w:hint="eastAsia" w:ascii="宋体" w:hAnsi="宋体"/>
            </w:rPr>
            <w:fldChar w:fldCharType="separate"/>
          </w:r>
          <w:r>
            <w:rPr>
              <w:rFonts w:hint="eastAsia"/>
              <w:szCs w:val="24"/>
            </w:rPr>
            <w:t>（一）职业面向</w:t>
          </w:r>
          <w:r>
            <w:tab/>
          </w:r>
          <w:r>
            <w:fldChar w:fldCharType="begin"/>
          </w:r>
          <w:r>
            <w:instrText xml:space="preserve"> PAGEREF _Toc769500195 \h </w:instrText>
          </w:r>
          <w:r>
            <w:fldChar w:fldCharType="separate"/>
          </w:r>
          <w:r>
            <w:t>1</w:t>
          </w:r>
          <w:r>
            <w:fldChar w:fldCharType="end"/>
          </w:r>
          <w:r>
            <w:rPr>
              <w:rFonts w:hint="eastAsia" w:ascii="宋体" w:hAnsi="宋体"/>
            </w:rPr>
            <w:fldChar w:fldCharType="end"/>
          </w:r>
        </w:p>
        <w:p w14:paraId="5144A775">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_Toc843255131 </w:instrText>
          </w:r>
          <w:r>
            <w:rPr>
              <w:rFonts w:hint="eastAsia" w:ascii="宋体" w:hAnsi="宋体"/>
            </w:rPr>
            <w:fldChar w:fldCharType="separate"/>
          </w:r>
          <w:r>
            <w:rPr>
              <w:rFonts w:hint="eastAsia"/>
              <w:szCs w:val="24"/>
            </w:rPr>
            <w:t>（二）接续专业</w:t>
          </w:r>
          <w:r>
            <w:tab/>
          </w:r>
          <w:r>
            <w:fldChar w:fldCharType="begin"/>
          </w:r>
          <w:r>
            <w:instrText xml:space="preserve"> PAGEREF _Toc843255131 \h </w:instrText>
          </w:r>
          <w:r>
            <w:fldChar w:fldCharType="separate"/>
          </w:r>
          <w:r>
            <w:t>2</w:t>
          </w:r>
          <w:r>
            <w:fldChar w:fldCharType="end"/>
          </w:r>
          <w:r>
            <w:rPr>
              <w:rFonts w:hint="eastAsia" w:ascii="宋体" w:hAnsi="宋体"/>
            </w:rPr>
            <w:fldChar w:fldCharType="end"/>
          </w:r>
        </w:p>
        <w:p w14:paraId="116A0518">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_Toc1344400164 </w:instrText>
          </w:r>
          <w:r>
            <w:rPr>
              <w:rFonts w:hint="eastAsia" w:ascii="宋体" w:hAnsi="宋体"/>
            </w:rPr>
            <w:fldChar w:fldCharType="separate"/>
          </w:r>
          <w:r>
            <w:rPr>
              <w:rFonts w:hint="eastAsia" w:ascii="黑体" w:hAnsi="黑体" w:eastAsia="黑体" w:cs="黑体"/>
              <w:bCs/>
              <w:szCs w:val="28"/>
            </w:rPr>
            <w:t>五、培养目标与培养规格</w:t>
          </w:r>
          <w:r>
            <w:tab/>
          </w:r>
          <w:r>
            <w:fldChar w:fldCharType="begin"/>
          </w:r>
          <w:r>
            <w:instrText xml:space="preserve"> PAGEREF _Toc1344400164 \h </w:instrText>
          </w:r>
          <w:r>
            <w:fldChar w:fldCharType="separate"/>
          </w:r>
          <w:r>
            <w:t>2</w:t>
          </w:r>
          <w:r>
            <w:fldChar w:fldCharType="end"/>
          </w:r>
          <w:r>
            <w:rPr>
              <w:rFonts w:hint="eastAsia" w:ascii="宋体" w:hAnsi="宋体"/>
            </w:rPr>
            <w:fldChar w:fldCharType="end"/>
          </w:r>
        </w:p>
        <w:p w14:paraId="7FBE9E33">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_Toc1658106261 </w:instrText>
          </w:r>
          <w:r>
            <w:rPr>
              <w:rFonts w:hint="eastAsia" w:ascii="宋体" w:hAnsi="宋体"/>
            </w:rPr>
            <w:fldChar w:fldCharType="separate"/>
          </w:r>
          <w:r>
            <w:rPr>
              <w:rFonts w:hint="eastAsia"/>
              <w:szCs w:val="24"/>
            </w:rPr>
            <w:t>（一）培养目标</w:t>
          </w:r>
          <w:r>
            <w:tab/>
          </w:r>
          <w:r>
            <w:fldChar w:fldCharType="begin"/>
          </w:r>
          <w:r>
            <w:instrText xml:space="preserve"> PAGEREF _Toc1658106261 \h </w:instrText>
          </w:r>
          <w:r>
            <w:fldChar w:fldCharType="separate"/>
          </w:r>
          <w:r>
            <w:t>2</w:t>
          </w:r>
          <w:r>
            <w:fldChar w:fldCharType="end"/>
          </w:r>
          <w:r>
            <w:rPr>
              <w:rFonts w:hint="eastAsia" w:ascii="宋体" w:hAnsi="宋体"/>
            </w:rPr>
            <w:fldChar w:fldCharType="end"/>
          </w:r>
        </w:p>
        <w:p w14:paraId="1FD2CBC0">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_Toc2044125155 </w:instrText>
          </w:r>
          <w:r>
            <w:rPr>
              <w:rFonts w:hint="eastAsia" w:ascii="宋体" w:hAnsi="宋体"/>
            </w:rPr>
            <w:fldChar w:fldCharType="separate"/>
          </w:r>
          <w:r>
            <w:rPr>
              <w:rFonts w:hint="eastAsia"/>
              <w:szCs w:val="24"/>
            </w:rPr>
            <w:t>（二）培养规格</w:t>
          </w:r>
          <w:r>
            <w:tab/>
          </w:r>
          <w:r>
            <w:fldChar w:fldCharType="begin"/>
          </w:r>
          <w:r>
            <w:instrText xml:space="preserve"> PAGEREF _Toc2044125155 \h </w:instrText>
          </w:r>
          <w:r>
            <w:fldChar w:fldCharType="separate"/>
          </w:r>
          <w:r>
            <w:t>2</w:t>
          </w:r>
          <w:r>
            <w:fldChar w:fldCharType="end"/>
          </w:r>
          <w:r>
            <w:rPr>
              <w:rFonts w:hint="eastAsia" w:ascii="宋体" w:hAnsi="宋体"/>
            </w:rPr>
            <w:fldChar w:fldCharType="end"/>
          </w:r>
        </w:p>
        <w:p w14:paraId="61F44C20">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_Toc168095379 </w:instrText>
          </w:r>
          <w:r>
            <w:rPr>
              <w:rFonts w:hint="eastAsia" w:ascii="宋体" w:hAnsi="宋体"/>
            </w:rPr>
            <w:fldChar w:fldCharType="separate"/>
          </w:r>
          <w:r>
            <w:rPr>
              <w:rFonts w:hint="eastAsia"/>
              <w:szCs w:val="24"/>
              <w:lang w:val="en-US" w:eastAsia="zh-CN"/>
            </w:rPr>
            <w:t>1.</w:t>
          </w:r>
          <w:r>
            <w:rPr>
              <w:szCs w:val="24"/>
            </w:rPr>
            <w:t>素养目标</w:t>
          </w:r>
          <w:r>
            <w:tab/>
          </w:r>
          <w:r>
            <w:fldChar w:fldCharType="begin"/>
          </w:r>
          <w:r>
            <w:instrText xml:space="preserve"> PAGEREF _Toc168095379 \h </w:instrText>
          </w:r>
          <w:r>
            <w:fldChar w:fldCharType="separate"/>
          </w:r>
          <w:r>
            <w:t>2</w:t>
          </w:r>
          <w:r>
            <w:fldChar w:fldCharType="end"/>
          </w:r>
          <w:r>
            <w:rPr>
              <w:rFonts w:hint="eastAsia" w:ascii="宋体" w:hAnsi="宋体"/>
            </w:rPr>
            <w:fldChar w:fldCharType="end"/>
          </w:r>
        </w:p>
        <w:p w14:paraId="4A726FA3">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_Toc1238039048 </w:instrText>
          </w:r>
          <w:r>
            <w:rPr>
              <w:rFonts w:hint="eastAsia" w:ascii="宋体" w:hAnsi="宋体"/>
            </w:rPr>
            <w:fldChar w:fldCharType="separate"/>
          </w:r>
          <w:r>
            <w:rPr>
              <w:rFonts w:hint="eastAsia"/>
              <w:szCs w:val="24"/>
              <w:lang w:val="en-US" w:eastAsia="zh-CN"/>
            </w:rPr>
            <w:t>2.</w:t>
          </w:r>
          <w:r>
            <w:rPr>
              <w:szCs w:val="24"/>
            </w:rPr>
            <w:t>知识目标</w:t>
          </w:r>
          <w:r>
            <w:tab/>
          </w:r>
          <w:r>
            <w:fldChar w:fldCharType="begin"/>
          </w:r>
          <w:r>
            <w:instrText xml:space="preserve"> PAGEREF _Toc1238039048 \h </w:instrText>
          </w:r>
          <w:r>
            <w:fldChar w:fldCharType="separate"/>
          </w:r>
          <w:r>
            <w:t>3</w:t>
          </w:r>
          <w:r>
            <w:fldChar w:fldCharType="end"/>
          </w:r>
          <w:r>
            <w:rPr>
              <w:rFonts w:hint="eastAsia" w:ascii="宋体" w:hAnsi="宋体"/>
            </w:rPr>
            <w:fldChar w:fldCharType="end"/>
          </w:r>
        </w:p>
        <w:p w14:paraId="302FE462">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_Toc753223953 </w:instrText>
          </w:r>
          <w:r>
            <w:rPr>
              <w:rFonts w:hint="eastAsia" w:ascii="宋体" w:hAnsi="宋体"/>
            </w:rPr>
            <w:fldChar w:fldCharType="separate"/>
          </w:r>
          <w:r>
            <w:rPr>
              <w:rFonts w:hint="eastAsia"/>
              <w:szCs w:val="24"/>
              <w:lang w:val="en-US" w:eastAsia="zh-CN"/>
            </w:rPr>
            <w:t>3.</w:t>
          </w:r>
          <w:r>
            <w:rPr>
              <w:szCs w:val="24"/>
            </w:rPr>
            <w:t>技能目标</w:t>
          </w:r>
          <w:r>
            <w:tab/>
          </w:r>
          <w:r>
            <w:fldChar w:fldCharType="begin"/>
          </w:r>
          <w:r>
            <w:instrText xml:space="preserve"> PAGEREF _Toc753223953 \h </w:instrText>
          </w:r>
          <w:r>
            <w:fldChar w:fldCharType="separate"/>
          </w:r>
          <w:r>
            <w:t>3</w:t>
          </w:r>
          <w:r>
            <w:fldChar w:fldCharType="end"/>
          </w:r>
          <w:r>
            <w:rPr>
              <w:rFonts w:hint="eastAsia" w:ascii="宋体" w:hAnsi="宋体"/>
            </w:rPr>
            <w:fldChar w:fldCharType="end"/>
          </w:r>
        </w:p>
        <w:p w14:paraId="14991F44">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_Toc18879006 </w:instrText>
          </w:r>
          <w:r>
            <w:rPr>
              <w:rFonts w:hint="eastAsia" w:ascii="宋体" w:hAnsi="宋体"/>
            </w:rPr>
            <w:fldChar w:fldCharType="separate"/>
          </w:r>
          <w:r>
            <w:rPr>
              <w:rFonts w:hint="eastAsia" w:ascii="黑体" w:hAnsi="黑体" w:eastAsia="黑体" w:cs="黑体"/>
              <w:bCs/>
              <w:szCs w:val="28"/>
              <w:lang w:val="en-US" w:eastAsia="zh-CN"/>
            </w:rPr>
            <w:t>六、</w:t>
          </w:r>
          <w:r>
            <w:rPr>
              <w:rFonts w:hint="eastAsia" w:ascii="黑体" w:hAnsi="黑体" w:eastAsia="黑体" w:cs="黑体"/>
              <w:bCs/>
              <w:szCs w:val="28"/>
            </w:rPr>
            <w:t>课程设置及要求</w:t>
          </w:r>
          <w:r>
            <w:tab/>
          </w:r>
          <w:r>
            <w:fldChar w:fldCharType="begin"/>
          </w:r>
          <w:r>
            <w:instrText xml:space="preserve"> PAGEREF _Toc18879006 \h </w:instrText>
          </w:r>
          <w:r>
            <w:fldChar w:fldCharType="separate"/>
          </w:r>
          <w:r>
            <w:t>4</w:t>
          </w:r>
          <w:r>
            <w:fldChar w:fldCharType="end"/>
          </w:r>
          <w:r>
            <w:rPr>
              <w:rFonts w:hint="eastAsia" w:ascii="宋体" w:hAnsi="宋体"/>
            </w:rPr>
            <w:fldChar w:fldCharType="end"/>
          </w:r>
        </w:p>
        <w:p w14:paraId="74D9A64F">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_Toc1619357733 </w:instrText>
          </w:r>
          <w:r>
            <w:rPr>
              <w:rFonts w:hint="eastAsia" w:ascii="宋体" w:hAnsi="宋体"/>
            </w:rPr>
            <w:fldChar w:fldCharType="separate"/>
          </w:r>
          <w:r>
            <w:rPr>
              <w:rFonts w:hint="eastAsia"/>
              <w:szCs w:val="24"/>
              <w:lang w:val="zh-CN" w:eastAsia="zh-CN"/>
            </w:rPr>
            <w:t>（一）职业能力分析</w:t>
          </w:r>
          <w:r>
            <w:tab/>
          </w:r>
          <w:r>
            <w:fldChar w:fldCharType="begin"/>
          </w:r>
          <w:r>
            <w:instrText xml:space="preserve"> PAGEREF _Toc1619357733 \h </w:instrText>
          </w:r>
          <w:r>
            <w:fldChar w:fldCharType="separate"/>
          </w:r>
          <w:r>
            <w:t>4</w:t>
          </w:r>
          <w:r>
            <w:fldChar w:fldCharType="end"/>
          </w:r>
          <w:r>
            <w:rPr>
              <w:rFonts w:hint="eastAsia" w:ascii="宋体" w:hAnsi="宋体"/>
            </w:rPr>
            <w:fldChar w:fldCharType="end"/>
          </w:r>
        </w:p>
        <w:p w14:paraId="1DE5AC92">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_Toc1485160100 </w:instrText>
          </w:r>
          <w:r>
            <w:rPr>
              <w:rFonts w:hint="eastAsia" w:ascii="宋体" w:hAnsi="宋体"/>
            </w:rPr>
            <w:fldChar w:fldCharType="separate"/>
          </w:r>
          <w:r>
            <w:rPr>
              <w:rFonts w:hint="eastAsia"/>
              <w:szCs w:val="24"/>
              <w:lang w:val="zh-CN"/>
            </w:rPr>
            <w:t>（</w:t>
          </w:r>
          <w:r>
            <w:rPr>
              <w:rFonts w:hint="eastAsia"/>
              <w:szCs w:val="24"/>
              <w:lang w:val="en-US" w:eastAsia="zh-CN"/>
            </w:rPr>
            <w:t>二）</w:t>
          </w:r>
          <w:r>
            <w:rPr>
              <w:rFonts w:hint="eastAsia"/>
              <w:szCs w:val="24"/>
              <w:lang w:val="zh-CN"/>
            </w:rPr>
            <w:t>课程设置</w:t>
          </w:r>
          <w:r>
            <w:tab/>
          </w:r>
          <w:r>
            <w:fldChar w:fldCharType="begin"/>
          </w:r>
          <w:r>
            <w:instrText xml:space="preserve"> PAGEREF _Toc1485160100 \h </w:instrText>
          </w:r>
          <w:r>
            <w:fldChar w:fldCharType="separate"/>
          </w:r>
          <w:r>
            <w:t>4</w:t>
          </w:r>
          <w:r>
            <w:fldChar w:fldCharType="end"/>
          </w:r>
          <w:r>
            <w:rPr>
              <w:rFonts w:hint="eastAsia" w:ascii="宋体" w:hAnsi="宋体"/>
            </w:rPr>
            <w:fldChar w:fldCharType="end"/>
          </w:r>
        </w:p>
        <w:p w14:paraId="3339B73A">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_Toc883371619 </w:instrText>
          </w:r>
          <w:r>
            <w:rPr>
              <w:rFonts w:hint="eastAsia" w:ascii="宋体" w:hAnsi="宋体"/>
            </w:rPr>
            <w:fldChar w:fldCharType="separate"/>
          </w:r>
          <w:r>
            <w:rPr>
              <w:rFonts w:hint="eastAsia"/>
              <w:szCs w:val="24"/>
              <w:lang w:val="zh-CN" w:eastAsia="zh-CN"/>
            </w:rPr>
            <w:t>（三）课程描述</w:t>
          </w:r>
          <w:r>
            <w:tab/>
          </w:r>
          <w:r>
            <w:fldChar w:fldCharType="begin"/>
          </w:r>
          <w:r>
            <w:instrText xml:space="preserve"> PAGEREF _Toc883371619 \h </w:instrText>
          </w:r>
          <w:r>
            <w:fldChar w:fldCharType="separate"/>
          </w:r>
          <w:r>
            <w:t>5</w:t>
          </w:r>
          <w:r>
            <w:fldChar w:fldCharType="end"/>
          </w:r>
          <w:r>
            <w:rPr>
              <w:rFonts w:hint="eastAsia" w:ascii="宋体" w:hAnsi="宋体"/>
            </w:rPr>
            <w:fldChar w:fldCharType="end"/>
          </w:r>
        </w:p>
        <w:p w14:paraId="7418DE56">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_Toc1272348822 </w:instrText>
          </w:r>
          <w:r>
            <w:rPr>
              <w:rFonts w:hint="eastAsia" w:ascii="宋体" w:hAnsi="宋体"/>
            </w:rPr>
            <w:fldChar w:fldCharType="separate"/>
          </w:r>
          <w:r>
            <w:rPr>
              <w:rFonts w:hint="eastAsia" w:ascii="黑体" w:hAnsi="黑体" w:eastAsia="黑体" w:cs="黑体"/>
              <w:bCs/>
              <w:szCs w:val="28"/>
              <w:lang w:val="en-US" w:eastAsia="zh-CN"/>
            </w:rPr>
            <w:t>七</w:t>
          </w:r>
          <w:r>
            <w:rPr>
              <w:rFonts w:hint="eastAsia" w:ascii="黑体" w:hAnsi="黑体" w:eastAsia="黑体" w:cs="黑体"/>
              <w:bCs/>
              <w:szCs w:val="28"/>
              <w:lang w:val="zh-CN" w:eastAsia="zh-CN"/>
            </w:rPr>
            <w:t>、教学进程安排</w:t>
          </w:r>
          <w:r>
            <w:tab/>
          </w:r>
          <w:r>
            <w:fldChar w:fldCharType="begin"/>
          </w:r>
          <w:r>
            <w:instrText xml:space="preserve"> PAGEREF _Toc1272348822 \h </w:instrText>
          </w:r>
          <w:r>
            <w:fldChar w:fldCharType="separate"/>
          </w:r>
          <w:r>
            <w:t>25</w:t>
          </w:r>
          <w:r>
            <w:fldChar w:fldCharType="end"/>
          </w:r>
          <w:r>
            <w:rPr>
              <w:rFonts w:hint="eastAsia" w:ascii="宋体" w:hAnsi="宋体"/>
            </w:rPr>
            <w:fldChar w:fldCharType="end"/>
          </w:r>
        </w:p>
        <w:p w14:paraId="13999F6C">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_Toc1871978175 </w:instrText>
          </w:r>
          <w:r>
            <w:rPr>
              <w:rFonts w:hint="eastAsia" w:ascii="宋体" w:hAnsi="宋体"/>
            </w:rPr>
            <w:fldChar w:fldCharType="separate"/>
          </w:r>
          <w:r>
            <w:rPr>
              <w:rFonts w:hint="eastAsia"/>
              <w:szCs w:val="24"/>
              <w:lang w:val="zh-CN" w:eastAsia="zh-CN"/>
            </w:rPr>
            <w:t>（一）教学总体安排表</w:t>
          </w:r>
          <w:r>
            <w:tab/>
          </w:r>
          <w:r>
            <w:fldChar w:fldCharType="begin"/>
          </w:r>
          <w:r>
            <w:instrText xml:space="preserve"> PAGEREF _Toc1871978175 \h </w:instrText>
          </w:r>
          <w:r>
            <w:fldChar w:fldCharType="separate"/>
          </w:r>
          <w:r>
            <w:t>25</w:t>
          </w:r>
          <w:r>
            <w:fldChar w:fldCharType="end"/>
          </w:r>
          <w:r>
            <w:rPr>
              <w:rFonts w:hint="eastAsia" w:ascii="宋体" w:hAnsi="宋体"/>
            </w:rPr>
            <w:fldChar w:fldCharType="end"/>
          </w:r>
        </w:p>
        <w:p w14:paraId="0C7C562C">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_Toc1701758675 </w:instrText>
          </w:r>
          <w:r>
            <w:rPr>
              <w:rFonts w:hint="eastAsia" w:ascii="宋体" w:hAnsi="宋体"/>
            </w:rPr>
            <w:fldChar w:fldCharType="separate"/>
          </w:r>
          <w:r>
            <w:rPr>
              <w:rFonts w:hint="eastAsia"/>
              <w:szCs w:val="24"/>
              <w:lang w:val="zh-CN" w:eastAsia="zh-CN"/>
            </w:rPr>
            <w:t>（二）各类课程学时分配表</w:t>
          </w:r>
          <w:r>
            <w:tab/>
          </w:r>
          <w:r>
            <w:fldChar w:fldCharType="begin"/>
          </w:r>
          <w:r>
            <w:instrText xml:space="preserve"> PAGEREF _Toc1701758675 \h </w:instrText>
          </w:r>
          <w:r>
            <w:fldChar w:fldCharType="separate"/>
          </w:r>
          <w:r>
            <w:t>25</w:t>
          </w:r>
          <w:r>
            <w:fldChar w:fldCharType="end"/>
          </w:r>
          <w:r>
            <w:rPr>
              <w:rFonts w:hint="eastAsia" w:ascii="宋体" w:hAnsi="宋体"/>
            </w:rPr>
            <w:fldChar w:fldCharType="end"/>
          </w:r>
        </w:p>
        <w:p w14:paraId="210D5301">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_Toc1270839979 </w:instrText>
          </w:r>
          <w:r>
            <w:rPr>
              <w:rFonts w:hint="eastAsia" w:ascii="宋体" w:hAnsi="宋体"/>
            </w:rPr>
            <w:fldChar w:fldCharType="separate"/>
          </w:r>
          <w:r>
            <w:rPr>
              <w:rFonts w:hint="eastAsia"/>
              <w:szCs w:val="24"/>
              <w:lang w:val="zh-CN" w:eastAsia="zh-CN"/>
            </w:rPr>
            <w:t>（三）教学进程表</w:t>
          </w:r>
          <w:r>
            <w:tab/>
          </w:r>
          <w:r>
            <w:fldChar w:fldCharType="begin"/>
          </w:r>
          <w:r>
            <w:instrText xml:space="preserve"> PAGEREF _Toc1270839979 \h </w:instrText>
          </w:r>
          <w:r>
            <w:fldChar w:fldCharType="separate"/>
          </w:r>
          <w:r>
            <w:t>25</w:t>
          </w:r>
          <w:r>
            <w:fldChar w:fldCharType="end"/>
          </w:r>
          <w:r>
            <w:rPr>
              <w:rFonts w:hint="eastAsia" w:ascii="宋体" w:hAnsi="宋体"/>
            </w:rPr>
            <w:fldChar w:fldCharType="end"/>
          </w:r>
        </w:p>
        <w:p w14:paraId="349BD7F8">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_Toc135173991 </w:instrText>
          </w:r>
          <w:r>
            <w:rPr>
              <w:rFonts w:hint="eastAsia" w:ascii="宋体" w:hAnsi="宋体"/>
            </w:rPr>
            <w:fldChar w:fldCharType="separate"/>
          </w:r>
          <w:r>
            <w:rPr>
              <w:rFonts w:hint="eastAsia" w:ascii="黑体" w:hAnsi="黑体" w:eastAsia="黑体" w:cs="黑体"/>
              <w:bCs/>
              <w:szCs w:val="28"/>
              <w:lang w:val="en-US" w:eastAsia="zh-CN"/>
            </w:rPr>
            <w:t>八</w:t>
          </w:r>
          <w:r>
            <w:rPr>
              <w:rFonts w:hint="eastAsia" w:ascii="黑体" w:hAnsi="黑体" w:eastAsia="黑体" w:cs="黑体"/>
              <w:bCs/>
              <w:szCs w:val="28"/>
              <w:lang w:val="zh-CN" w:eastAsia="zh-CN"/>
            </w:rPr>
            <w:t>、实施保障</w:t>
          </w:r>
          <w:r>
            <w:tab/>
          </w:r>
          <w:r>
            <w:fldChar w:fldCharType="begin"/>
          </w:r>
          <w:r>
            <w:instrText xml:space="preserve"> PAGEREF _Toc135173991 \h </w:instrText>
          </w:r>
          <w:r>
            <w:fldChar w:fldCharType="separate"/>
          </w:r>
          <w:r>
            <w:t>28</w:t>
          </w:r>
          <w:r>
            <w:fldChar w:fldCharType="end"/>
          </w:r>
          <w:r>
            <w:rPr>
              <w:rFonts w:hint="eastAsia" w:ascii="宋体" w:hAnsi="宋体"/>
            </w:rPr>
            <w:fldChar w:fldCharType="end"/>
          </w:r>
        </w:p>
        <w:p w14:paraId="755899C1">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_Toc1979051858 </w:instrText>
          </w:r>
          <w:r>
            <w:rPr>
              <w:rFonts w:hint="eastAsia" w:ascii="宋体" w:hAnsi="宋体"/>
            </w:rPr>
            <w:fldChar w:fldCharType="separate"/>
          </w:r>
          <w:r>
            <w:rPr>
              <w:rFonts w:hint="eastAsia"/>
              <w:szCs w:val="24"/>
              <w:lang w:val="zh-CN" w:eastAsia="zh-CN"/>
            </w:rPr>
            <w:t>（一）师资队伍</w:t>
          </w:r>
          <w:r>
            <w:tab/>
          </w:r>
          <w:r>
            <w:fldChar w:fldCharType="begin"/>
          </w:r>
          <w:r>
            <w:instrText xml:space="preserve"> PAGEREF _Toc1979051858 \h </w:instrText>
          </w:r>
          <w:r>
            <w:fldChar w:fldCharType="separate"/>
          </w:r>
          <w:r>
            <w:t>28</w:t>
          </w:r>
          <w:r>
            <w:fldChar w:fldCharType="end"/>
          </w:r>
          <w:r>
            <w:rPr>
              <w:rFonts w:hint="eastAsia" w:ascii="宋体" w:hAnsi="宋体"/>
            </w:rPr>
            <w:fldChar w:fldCharType="end"/>
          </w:r>
        </w:p>
        <w:p w14:paraId="7D465AC0">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_Toc1697852670 </w:instrText>
          </w:r>
          <w:r>
            <w:rPr>
              <w:rFonts w:hint="eastAsia" w:ascii="宋体" w:hAnsi="宋体"/>
            </w:rPr>
            <w:fldChar w:fldCharType="separate"/>
          </w:r>
          <w:r>
            <w:rPr>
              <w:rFonts w:hint="eastAsia"/>
              <w:szCs w:val="24"/>
              <w:lang w:val="zh-CN" w:eastAsia="zh-CN"/>
            </w:rPr>
            <w:t>（二）合作企业</w:t>
          </w:r>
          <w:r>
            <w:tab/>
          </w:r>
          <w:r>
            <w:fldChar w:fldCharType="begin"/>
          </w:r>
          <w:r>
            <w:instrText xml:space="preserve"> PAGEREF _Toc1697852670 \h </w:instrText>
          </w:r>
          <w:r>
            <w:fldChar w:fldCharType="separate"/>
          </w:r>
          <w:r>
            <w:t>29</w:t>
          </w:r>
          <w:r>
            <w:fldChar w:fldCharType="end"/>
          </w:r>
          <w:r>
            <w:rPr>
              <w:rFonts w:hint="eastAsia" w:ascii="宋体" w:hAnsi="宋体"/>
            </w:rPr>
            <w:fldChar w:fldCharType="end"/>
          </w:r>
        </w:p>
        <w:p w14:paraId="2E184267">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_Toc47123354 </w:instrText>
          </w:r>
          <w:r>
            <w:rPr>
              <w:rFonts w:hint="eastAsia" w:ascii="宋体" w:hAnsi="宋体"/>
            </w:rPr>
            <w:fldChar w:fldCharType="separate"/>
          </w:r>
          <w:r>
            <w:rPr>
              <w:rFonts w:hint="eastAsia"/>
              <w:szCs w:val="24"/>
              <w:lang w:val="zh-CN" w:eastAsia="zh-CN"/>
            </w:rPr>
            <w:t>（三）教学设施</w:t>
          </w:r>
          <w:r>
            <w:tab/>
          </w:r>
          <w:r>
            <w:fldChar w:fldCharType="begin"/>
          </w:r>
          <w:r>
            <w:instrText xml:space="preserve"> PAGEREF _Toc47123354 \h </w:instrText>
          </w:r>
          <w:r>
            <w:fldChar w:fldCharType="separate"/>
          </w:r>
          <w:r>
            <w:t>29</w:t>
          </w:r>
          <w:r>
            <w:fldChar w:fldCharType="end"/>
          </w:r>
          <w:r>
            <w:rPr>
              <w:rFonts w:hint="eastAsia" w:ascii="宋体" w:hAnsi="宋体"/>
            </w:rPr>
            <w:fldChar w:fldCharType="end"/>
          </w:r>
        </w:p>
        <w:p w14:paraId="3946C69E">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_Toc1728228582 </w:instrText>
          </w:r>
          <w:r>
            <w:rPr>
              <w:rFonts w:hint="eastAsia" w:ascii="宋体" w:hAnsi="宋体"/>
            </w:rPr>
            <w:fldChar w:fldCharType="separate"/>
          </w:r>
          <w:r>
            <w:rPr>
              <w:rFonts w:hint="eastAsia"/>
              <w:szCs w:val="24"/>
              <w:lang w:val="zh-CN" w:eastAsia="zh-CN"/>
            </w:rPr>
            <w:t>（四）教学资源</w:t>
          </w:r>
          <w:r>
            <w:tab/>
          </w:r>
          <w:r>
            <w:fldChar w:fldCharType="begin"/>
          </w:r>
          <w:r>
            <w:instrText xml:space="preserve"> PAGEREF _Toc1728228582 \h </w:instrText>
          </w:r>
          <w:r>
            <w:fldChar w:fldCharType="separate"/>
          </w:r>
          <w:r>
            <w:t>35</w:t>
          </w:r>
          <w:r>
            <w:fldChar w:fldCharType="end"/>
          </w:r>
          <w:r>
            <w:rPr>
              <w:rFonts w:hint="eastAsia" w:ascii="宋体" w:hAnsi="宋体"/>
            </w:rPr>
            <w:fldChar w:fldCharType="end"/>
          </w:r>
        </w:p>
        <w:p w14:paraId="0AEABBD7">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_Toc1621451999 </w:instrText>
          </w:r>
          <w:r>
            <w:rPr>
              <w:rFonts w:hint="eastAsia" w:ascii="宋体" w:hAnsi="宋体"/>
            </w:rPr>
            <w:fldChar w:fldCharType="separate"/>
          </w:r>
          <w:r>
            <w:rPr>
              <w:rFonts w:hint="eastAsia"/>
              <w:szCs w:val="24"/>
              <w:lang w:val="zh-CN" w:eastAsia="zh-CN"/>
            </w:rPr>
            <w:t>（五）教学方法</w:t>
          </w:r>
          <w:r>
            <w:tab/>
          </w:r>
          <w:r>
            <w:fldChar w:fldCharType="begin"/>
          </w:r>
          <w:r>
            <w:instrText xml:space="preserve"> PAGEREF _Toc1621451999 \h </w:instrText>
          </w:r>
          <w:r>
            <w:fldChar w:fldCharType="separate"/>
          </w:r>
          <w:r>
            <w:t>35</w:t>
          </w:r>
          <w:r>
            <w:fldChar w:fldCharType="end"/>
          </w:r>
          <w:r>
            <w:rPr>
              <w:rFonts w:hint="eastAsia" w:ascii="宋体" w:hAnsi="宋体"/>
            </w:rPr>
            <w:fldChar w:fldCharType="end"/>
          </w:r>
        </w:p>
        <w:p w14:paraId="4FD7E181">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_Toc176266763 </w:instrText>
          </w:r>
          <w:r>
            <w:rPr>
              <w:rFonts w:hint="eastAsia" w:ascii="宋体" w:hAnsi="宋体"/>
            </w:rPr>
            <w:fldChar w:fldCharType="separate"/>
          </w:r>
          <w:r>
            <w:rPr>
              <w:rFonts w:hint="eastAsia"/>
              <w:szCs w:val="24"/>
              <w:lang w:val="zh-CN" w:eastAsia="zh-CN"/>
            </w:rPr>
            <w:t>（六）学习评价</w:t>
          </w:r>
          <w:r>
            <w:tab/>
          </w:r>
          <w:r>
            <w:fldChar w:fldCharType="begin"/>
          </w:r>
          <w:r>
            <w:instrText xml:space="preserve"> PAGEREF _Toc176266763 \h </w:instrText>
          </w:r>
          <w:r>
            <w:fldChar w:fldCharType="separate"/>
          </w:r>
          <w:r>
            <w:t>36</w:t>
          </w:r>
          <w:r>
            <w:fldChar w:fldCharType="end"/>
          </w:r>
          <w:r>
            <w:rPr>
              <w:rFonts w:hint="eastAsia" w:ascii="宋体" w:hAnsi="宋体"/>
            </w:rPr>
            <w:fldChar w:fldCharType="end"/>
          </w:r>
        </w:p>
        <w:p w14:paraId="3B3807BC">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_Toc1135536528 </w:instrText>
          </w:r>
          <w:r>
            <w:rPr>
              <w:rFonts w:hint="eastAsia" w:ascii="宋体" w:hAnsi="宋体"/>
            </w:rPr>
            <w:fldChar w:fldCharType="separate"/>
          </w:r>
          <w:r>
            <w:rPr>
              <w:rFonts w:hint="eastAsia"/>
              <w:szCs w:val="24"/>
              <w:lang w:val="zh-CN" w:eastAsia="zh-CN"/>
            </w:rPr>
            <w:t>（七）质量保障</w:t>
          </w:r>
          <w:r>
            <w:tab/>
          </w:r>
          <w:r>
            <w:fldChar w:fldCharType="begin"/>
          </w:r>
          <w:r>
            <w:instrText xml:space="preserve"> PAGEREF _Toc1135536528 \h </w:instrText>
          </w:r>
          <w:r>
            <w:fldChar w:fldCharType="separate"/>
          </w:r>
          <w:r>
            <w:t>37</w:t>
          </w:r>
          <w:r>
            <w:fldChar w:fldCharType="end"/>
          </w:r>
          <w:r>
            <w:rPr>
              <w:rFonts w:hint="eastAsia" w:ascii="宋体" w:hAnsi="宋体"/>
            </w:rPr>
            <w:fldChar w:fldCharType="end"/>
          </w:r>
        </w:p>
        <w:p w14:paraId="04720465">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_Toc275255207 </w:instrText>
          </w:r>
          <w:r>
            <w:rPr>
              <w:rFonts w:hint="eastAsia" w:ascii="宋体" w:hAnsi="宋体"/>
            </w:rPr>
            <w:fldChar w:fldCharType="separate"/>
          </w:r>
          <w:r>
            <w:rPr>
              <w:rFonts w:hint="eastAsia" w:ascii="黑体" w:hAnsi="黑体" w:eastAsia="黑体" w:cs="黑体"/>
              <w:bCs/>
              <w:szCs w:val="28"/>
              <w:lang w:val="zh-CN" w:eastAsia="zh-CN"/>
            </w:rPr>
            <w:t>九、毕业要求</w:t>
          </w:r>
          <w:r>
            <w:tab/>
          </w:r>
          <w:r>
            <w:fldChar w:fldCharType="begin"/>
          </w:r>
          <w:r>
            <w:instrText xml:space="preserve"> PAGEREF _Toc275255207 \h </w:instrText>
          </w:r>
          <w:r>
            <w:fldChar w:fldCharType="separate"/>
          </w:r>
          <w:r>
            <w:t>37</w:t>
          </w:r>
          <w:r>
            <w:fldChar w:fldCharType="end"/>
          </w:r>
          <w:r>
            <w:rPr>
              <w:rFonts w:hint="eastAsia" w:ascii="宋体" w:hAnsi="宋体"/>
            </w:rPr>
            <w:fldChar w:fldCharType="end"/>
          </w:r>
        </w:p>
        <w:p w14:paraId="6146B0E4">
          <w:pPr>
            <w:pStyle w:val="12"/>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_Toc534488411 </w:instrText>
          </w:r>
          <w:r>
            <w:rPr>
              <w:rFonts w:hint="eastAsia" w:ascii="宋体" w:hAnsi="宋体"/>
            </w:rPr>
            <w:fldChar w:fldCharType="separate"/>
          </w:r>
          <w:r>
            <w:rPr>
              <w:rFonts w:hint="eastAsia" w:ascii="黑体" w:hAnsi="黑体" w:eastAsia="黑体" w:cs="黑体"/>
              <w:bCs/>
              <w:szCs w:val="28"/>
              <w:lang w:val="en-US" w:eastAsia="zh-CN"/>
            </w:rPr>
            <w:t>十、</w:t>
          </w:r>
          <w:r>
            <w:rPr>
              <w:rFonts w:hint="eastAsia" w:ascii="黑体" w:hAnsi="黑体" w:eastAsia="黑体" w:cs="黑体"/>
              <w:bCs/>
              <w:szCs w:val="28"/>
              <w:lang w:val="zh-CN" w:eastAsia="zh-CN"/>
            </w:rPr>
            <w:t>附录</w:t>
          </w:r>
          <w:r>
            <w:tab/>
          </w:r>
          <w:r>
            <w:fldChar w:fldCharType="begin"/>
          </w:r>
          <w:r>
            <w:instrText xml:space="preserve"> PAGEREF _Toc534488411 \h </w:instrText>
          </w:r>
          <w:r>
            <w:fldChar w:fldCharType="separate"/>
          </w:r>
          <w:r>
            <w:t>1</w:t>
          </w:r>
          <w:r>
            <w:fldChar w:fldCharType="end"/>
          </w:r>
          <w:r>
            <w:rPr>
              <w:rFonts w:hint="eastAsia" w:ascii="宋体" w:hAnsi="宋体"/>
            </w:rPr>
            <w:fldChar w:fldCharType="end"/>
          </w:r>
        </w:p>
        <w:p w14:paraId="63935C44">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_Toc222628276 </w:instrText>
          </w:r>
          <w:r>
            <w:rPr>
              <w:rFonts w:hint="eastAsia" w:ascii="宋体" w:hAnsi="宋体"/>
            </w:rPr>
            <w:fldChar w:fldCharType="separate"/>
          </w:r>
          <w:r>
            <w:rPr>
              <w:rFonts w:hint="eastAsia"/>
              <w:szCs w:val="24"/>
              <w:lang w:val="zh-CN" w:eastAsia="zh-CN"/>
            </w:rPr>
            <w:t>（</w:t>
          </w:r>
          <w:r>
            <w:rPr>
              <w:rFonts w:hint="eastAsia"/>
              <w:szCs w:val="24"/>
              <w:lang w:val="en-US" w:eastAsia="zh-CN"/>
            </w:rPr>
            <w:t>一）</w:t>
          </w:r>
          <w:r>
            <w:rPr>
              <w:rFonts w:hint="eastAsia"/>
              <w:szCs w:val="24"/>
              <w:lang w:val="zh-CN" w:eastAsia="zh-CN"/>
            </w:rPr>
            <w:t>人才培养方案变更审批表</w:t>
          </w:r>
          <w:r>
            <w:tab/>
          </w:r>
          <w:r>
            <w:fldChar w:fldCharType="begin"/>
          </w:r>
          <w:r>
            <w:instrText xml:space="preserve"> PAGEREF _Toc222628276 \h </w:instrText>
          </w:r>
          <w:r>
            <w:fldChar w:fldCharType="separate"/>
          </w:r>
          <w:r>
            <w:t>1</w:t>
          </w:r>
          <w:r>
            <w:fldChar w:fldCharType="end"/>
          </w:r>
          <w:r>
            <w:rPr>
              <w:rFonts w:hint="eastAsia" w:ascii="宋体" w:hAnsi="宋体"/>
            </w:rPr>
            <w:fldChar w:fldCharType="end"/>
          </w:r>
        </w:p>
        <w:p w14:paraId="4B47EE84">
          <w:pPr>
            <w:pStyle w:val="13"/>
            <w:keepNext w:val="0"/>
            <w:keepLines w:val="0"/>
            <w:pageBreakBefore w:val="0"/>
            <w:widowControl w:val="0"/>
            <w:tabs>
              <w:tab w:val="right" w:leader="dot" w:pos="8306"/>
            </w:tabs>
            <w:kinsoku/>
            <w:wordWrap/>
            <w:overflowPunct/>
            <w:topLinePunct w:val="0"/>
            <w:bidi w:val="0"/>
            <w:spacing w:line="400" w:lineRule="exact"/>
            <w:textAlignment w:val="auto"/>
          </w:pPr>
          <w:r>
            <w:rPr>
              <w:rFonts w:hint="eastAsia" w:ascii="宋体" w:hAnsi="宋体"/>
            </w:rPr>
            <w:fldChar w:fldCharType="begin"/>
          </w:r>
          <w:r>
            <w:rPr>
              <w:rFonts w:hint="eastAsia" w:ascii="宋体" w:hAnsi="宋体"/>
            </w:rPr>
            <w:instrText xml:space="preserve"> HYPERLINK \l _Toc796921658 </w:instrText>
          </w:r>
          <w:r>
            <w:rPr>
              <w:rFonts w:hint="eastAsia" w:ascii="宋体" w:hAnsi="宋体"/>
            </w:rPr>
            <w:fldChar w:fldCharType="separate"/>
          </w:r>
          <w:r>
            <w:rPr>
              <w:rFonts w:hint="eastAsia"/>
              <w:szCs w:val="24"/>
              <w:lang w:val="zh-CN" w:eastAsia="zh-CN"/>
            </w:rPr>
            <w:t>（</w:t>
          </w:r>
          <w:r>
            <w:rPr>
              <w:rFonts w:hint="eastAsia"/>
              <w:szCs w:val="24"/>
              <w:lang w:val="en-US" w:eastAsia="zh-CN"/>
            </w:rPr>
            <w:t>二）</w:t>
          </w:r>
          <w:r>
            <w:rPr>
              <w:rFonts w:hint="eastAsia"/>
              <w:szCs w:val="24"/>
              <w:lang w:val="zh-CN" w:eastAsia="zh-CN"/>
            </w:rPr>
            <w:t>专家组论证意见</w:t>
          </w:r>
          <w:r>
            <w:tab/>
          </w:r>
          <w:r>
            <w:fldChar w:fldCharType="begin"/>
          </w:r>
          <w:r>
            <w:instrText xml:space="preserve"> PAGEREF _Toc796921658 \h </w:instrText>
          </w:r>
          <w:r>
            <w:fldChar w:fldCharType="separate"/>
          </w:r>
          <w:r>
            <w:t>1</w:t>
          </w:r>
          <w:r>
            <w:fldChar w:fldCharType="end"/>
          </w:r>
          <w:r>
            <w:rPr>
              <w:rFonts w:hint="eastAsia" w:ascii="宋体" w:hAnsi="宋体"/>
            </w:rPr>
            <w:fldChar w:fldCharType="end"/>
          </w:r>
        </w:p>
        <w:p w14:paraId="167AC345">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宋体" w:hAnsi="宋体"/>
            </w:rPr>
          </w:pPr>
          <w:r>
            <w:rPr>
              <w:rFonts w:hint="eastAsia" w:ascii="宋体" w:hAnsi="宋体"/>
            </w:rPr>
            <w:fldChar w:fldCharType="end"/>
          </w:r>
        </w:p>
      </w:sdtContent>
    </w:sdt>
    <w:p w14:paraId="278086A2">
      <w:pPr>
        <w:rPr>
          <w:rFonts w:hint="eastAsia" w:ascii="宋体" w:hAnsi="宋体"/>
        </w:rPr>
      </w:pPr>
    </w:p>
    <w:p w14:paraId="03C6A521">
      <w:pPr>
        <w:widowControl/>
        <w:jc w:val="left"/>
        <w:rPr>
          <w:rFonts w:hint="eastAsia" w:ascii="宋体" w:hAnsi="宋体"/>
        </w:rPr>
        <w:sectPr>
          <w:headerReference r:id="rId4" w:type="first"/>
          <w:headerReference r:id="rId3" w:type="default"/>
          <w:footerReference r:id="rId5" w:type="default"/>
          <w:pgSz w:w="11906" w:h="16838"/>
          <w:pgMar w:top="1440" w:right="1800" w:bottom="1440" w:left="1800" w:header="851" w:footer="992" w:gutter="0"/>
          <w:cols w:space="425" w:num="1"/>
          <w:titlePg/>
          <w:docGrid w:type="lines" w:linePitch="312" w:charSpace="0"/>
        </w:sectPr>
      </w:pPr>
    </w:p>
    <w:p w14:paraId="534E26BA">
      <w:pPr>
        <w:widowControl/>
        <w:jc w:val="left"/>
        <w:rPr>
          <w:rFonts w:hint="eastAsia" w:ascii="宋体" w:hAnsi="宋体"/>
        </w:rPr>
      </w:pPr>
    </w:p>
    <w:p w14:paraId="23772E9C">
      <w:pPr>
        <w:pStyle w:val="2"/>
        <w:bidi w:val="0"/>
        <w:rPr>
          <w:rFonts w:hint="eastAsia" w:ascii="黑体" w:hAnsi="黑体" w:eastAsia="黑体" w:cs="黑体"/>
          <w:b w:val="0"/>
          <w:bCs/>
          <w:sz w:val="28"/>
          <w:szCs w:val="28"/>
        </w:rPr>
      </w:pPr>
      <w:bookmarkStart w:id="0" w:name="_Toc1263009172"/>
      <w:r>
        <w:rPr>
          <w:rFonts w:hint="eastAsia" w:ascii="黑体" w:hAnsi="黑体" w:eastAsia="黑体" w:cs="黑体"/>
          <w:b w:val="0"/>
          <w:bCs/>
          <w:sz w:val="28"/>
          <w:szCs w:val="28"/>
        </w:rPr>
        <w:t>一、专业名称及代码</w:t>
      </w:r>
      <w:bookmarkEnd w:id="0"/>
    </w:p>
    <w:p w14:paraId="2E43EF17">
      <w:pPr>
        <w:keepNext w:val="0"/>
        <w:keepLines w:val="0"/>
        <w:pageBreakBefore w:val="0"/>
        <w:wordWrap/>
        <w:overflowPunct/>
        <w:topLinePunct w:val="0"/>
        <w:bidi w:val="0"/>
        <w:adjustRightInd w:val="0"/>
        <w:snapToGrid w:val="0"/>
        <w:spacing w:line="440" w:lineRule="exact"/>
        <w:ind w:firstLine="600" w:firstLineChars="250"/>
        <w:rPr>
          <w:rFonts w:hint="eastAsia" w:ascii="宋体" w:hAnsi="宋体"/>
          <w:sz w:val="24"/>
        </w:rPr>
      </w:pPr>
      <w:r>
        <w:rPr>
          <w:rFonts w:hint="eastAsia" w:ascii="宋体" w:hAnsi="宋体"/>
          <w:sz w:val="24"/>
          <w:lang w:val="en-US" w:eastAsia="zh-CN"/>
        </w:rPr>
        <w:t>食品加工工艺</w:t>
      </w:r>
      <w:r>
        <w:rPr>
          <w:rFonts w:hint="eastAsia" w:ascii="宋体" w:hAnsi="宋体"/>
          <w:sz w:val="24"/>
        </w:rPr>
        <w:t>（</w:t>
      </w:r>
      <w:r>
        <w:rPr>
          <w:rFonts w:hint="eastAsia" w:ascii="宋体" w:hAnsi="宋体"/>
          <w:sz w:val="24"/>
          <w:lang w:val="en-US" w:eastAsia="zh-CN"/>
        </w:rPr>
        <w:t>690101</w:t>
      </w:r>
      <w:r>
        <w:rPr>
          <w:rFonts w:hint="eastAsia" w:ascii="宋体" w:hAnsi="宋体"/>
          <w:sz w:val="24"/>
        </w:rPr>
        <w:t>）</w:t>
      </w:r>
    </w:p>
    <w:p w14:paraId="7F3805B7">
      <w:pPr>
        <w:pStyle w:val="2"/>
        <w:bidi w:val="0"/>
        <w:rPr>
          <w:rFonts w:hint="eastAsia" w:ascii="黑体" w:hAnsi="黑体" w:eastAsia="黑体" w:cs="黑体"/>
          <w:b w:val="0"/>
          <w:bCs/>
          <w:sz w:val="28"/>
          <w:szCs w:val="28"/>
        </w:rPr>
      </w:pPr>
      <w:bookmarkStart w:id="1" w:name="_Toc1666786856"/>
      <w:r>
        <w:rPr>
          <w:rFonts w:hint="eastAsia" w:ascii="黑体" w:hAnsi="黑体" w:eastAsia="黑体" w:cs="黑体"/>
          <w:b w:val="0"/>
          <w:bCs/>
          <w:sz w:val="28"/>
          <w:szCs w:val="28"/>
        </w:rPr>
        <w:t>二、入学要求</w:t>
      </w:r>
      <w:bookmarkEnd w:id="1"/>
    </w:p>
    <w:p w14:paraId="23403ECF">
      <w:pPr>
        <w:keepNext w:val="0"/>
        <w:keepLines w:val="0"/>
        <w:pageBreakBefore w:val="0"/>
        <w:wordWrap/>
        <w:overflowPunct/>
        <w:topLinePunct w:val="0"/>
        <w:bidi w:val="0"/>
        <w:adjustRightInd w:val="0"/>
        <w:snapToGrid w:val="0"/>
        <w:spacing w:line="440" w:lineRule="exact"/>
        <w:ind w:firstLine="600" w:firstLineChars="250"/>
        <w:rPr>
          <w:rFonts w:hint="eastAsia" w:ascii="宋体" w:hAnsi="宋体" w:eastAsia="宋体"/>
          <w:sz w:val="24"/>
          <w:lang w:val="en-US" w:eastAsia="zh-CN"/>
        </w:rPr>
      </w:pPr>
      <w:r>
        <w:rPr>
          <w:rFonts w:hint="eastAsia" w:ascii="宋体" w:hAnsi="宋体" w:eastAsia="宋体"/>
          <w:sz w:val="24"/>
          <w:lang w:val="en-US" w:eastAsia="zh-CN"/>
        </w:rPr>
        <w:t>初级中等学校毕业或具备同等学力</w:t>
      </w:r>
    </w:p>
    <w:p w14:paraId="72B65274">
      <w:pPr>
        <w:pStyle w:val="2"/>
        <w:bidi w:val="0"/>
        <w:rPr>
          <w:rFonts w:hint="eastAsia" w:ascii="黑体" w:hAnsi="黑体" w:eastAsia="黑体" w:cs="黑体"/>
          <w:b w:val="0"/>
          <w:bCs/>
          <w:sz w:val="28"/>
          <w:szCs w:val="28"/>
        </w:rPr>
      </w:pPr>
      <w:bookmarkStart w:id="2" w:name="_Toc1909997324"/>
      <w:r>
        <w:rPr>
          <w:rFonts w:hint="eastAsia" w:ascii="黑体" w:hAnsi="黑体" w:eastAsia="黑体" w:cs="黑体"/>
          <w:b w:val="0"/>
          <w:bCs/>
          <w:sz w:val="28"/>
          <w:szCs w:val="28"/>
        </w:rPr>
        <w:t>三、修业年限</w:t>
      </w:r>
      <w:bookmarkEnd w:id="2"/>
    </w:p>
    <w:p w14:paraId="57862260">
      <w:pPr>
        <w:keepNext w:val="0"/>
        <w:keepLines w:val="0"/>
        <w:pageBreakBefore w:val="0"/>
        <w:wordWrap/>
        <w:overflowPunct/>
        <w:topLinePunct w:val="0"/>
        <w:bidi w:val="0"/>
        <w:adjustRightInd w:val="0"/>
        <w:snapToGrid w:val="0"/>
        <w:spacing w:line="440" w:lineRule="exact"/>
        <w:ind w:firstLine="600" w:firstLineChars="250"/>
        <w:rPr>
          <w:rFonts w:hint="eastAsia" w:ascii="宋体" w:hAnsi="宋体" w:eastAsia="宋体"/>
          <w:sz w:val="24"/>
          <w:lang w:val="en-US" w:eastAsia="zh-CN"/>
        </w:rPr>
      </w:pPr>
      <w:r>
        <w:rPr>
          <w:rFonts w:hint="eastAsia" w:ascii="宋体" w:hAnsi="宋体" w:eastAsia="宋体"/>
          <w:sz w:val="24"/>
          <w:lang w:val="en-US" w:eastAsia="zh-CN"/>
        </w:rPr>
        <w:t>三年全日制</w:t>
      </w:r>
    </w:p>
    <w:p w14:paraId="4FE1AEFD">
      <w:pPr>
        <w:pStyle w:val="2"/>
        <w:bidi w:val="0"/>
        <w:rPr>
          <w:rFonts w:hint="eastAsia" w:ascii="黑体" w:hAnsi="黑体" w:eastAsia="黑体" w:cs="黑体"/>
          <w:b w:val="0"/>
          <w:bCs/>
          <w:sz w:val="28"/>
          <w:szCs w:val="28"/>
        </w:rPr>
      </w:pPr>
      <w:bookmarkStart w:id="3" w:name="_Toc739469112"/>
      <w:r>
        <w:rPr>
          <w:rFonts w:hint="eastAsia" w:ascii="黑体" w:hAnsi="黑体" w:eastAsia="黑体" w:cs="黑体"/>
          <w:b w:val="0"/>
          <w:bCs/>
          <w:sz w:val="28"/>
          <w:szCs w:val="28"/>
        </w:rPr>
        <w:t>四、职业面向</w:t>
      </w:r>
      <w:bookmarkEnd w:id="3"/>
    </w:p>
    <w:p w14:paraId="20031241">
      <w:pPr>
        <w:pStyle w:val="3"/>
        <w:bidi w:val="0"/>
        <w:rPr>
          <w:sz w:val="24"/>
          <w:szCs w:val="24"/>
        </w:rPr>
      </w:pPr>
      <w:bookmarkStart w:id="4" w:name="_Toc769500195"/>
      <w:r>
        <w:rPr>
          <w:rFonts w:hint="eastAsia"/>
          <w:sz w:val="24"/>
          <w:szCs w:val="24"/>
        </w:rPr>
        <w:t>（一）职业面向</w:t>
      </w:r>
      <w:bookmarkEnd w:id="4"/>
    </w:p>
    <w:p w14:paraId="1CBEA6E0">
      <w:pPr>
        <w:keepNext w:val="0"/>
        <w:keepLines w:val="0"/>
        <w:pageBreakBefore w:val="0"/>
        <w:wordWrap/>
        <w:overflowPunct/>
        <w:topLinePunct w:val="0"/>
        <w:bidi w:val="0"/>
        <w:spacing w:line="440" w:lineRule="exact"/>
        <w:ind w:firstLine="482" w:firstLineChars="200"/>
        <w:jc w:val="center"/>
        <w:rPr>
          <w:b/>
          <w:bCs/>
          <w:sz w:val="24"/>
        </w:rPr>
      </w:pPr>
      <w:r>
        <w:rPr>
          <w:rFonts w:hint="eastAsia"/>
          <w:b/>
          <w:bCs/>
          <w:sz w:val="24"/>
        </w:rPr>
        <w:t>表1：</w:t>
      </w:r>
      <w:r>
        <w:rPr>
          <w:rFonts w:hint="eastAsia"/>
          <w:b/>
          <w:bCs/>
          <w:sz w:val="24"/>
          <w:lang w:val="en-US" w:eastAsia="zh-CN"/>
        </w:rPr>
        <w:t>食品加工工艺</w:t>
      </w:r>
      <w:r>
        <w:rPr>
          <w:rFonts w:hint="eastAsia"/>
          <w:b/>
          <w:bCs/>
          <w:sz w:val="24"/>
        </w:rPr>
        <w:t>专业 职业及等级证书</w:t>
      </w:r>
    </w:p>
    <w:tbl>
      <w:tblPr>
        <w:tblStyle w:val="15"/>
        <w:tblpPr w:leftFromText="180" w:rightFromText="180" w:vertAnchor="text" w:horzAnchor="margin" w:tblpXSpec="center" w:tblpY="67"/>
        <w:tblW w:w="97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7"/>
        <w:gridCol w:w="985"/>
        <w:gridCol w:w="1323"/>
        <w:gridCol w:w="2368"/>
        <w:gridCol w:w="1978"/>
        <w:gridCol w:w="2136"/>
      </w:tblGrid>
      <w:tr w14:paraId="6F5AC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0" w:hRule="exact"/>
        </w:trPr>
        <w:tc>
          <w:tcPr>
            <w:tcW w:w="967" w:type="dxa"/>
            <w:vAlign w:val="center"/>
          </w:tcPr>
          <w:p w14:paraId="59148E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ahoma"/>
                <w:b/>
                <w:kern w:val="0"/>
                <w:szCs w:val="21"/>
              </w:rPr>
            </w:pPr>
            <w:r>
              <w:rPr>
                <w:rFonts w:hint="eastAsia" w:ascii="宋体" w:hAnsi="宋体" w:cs="Tahoma"/>
                <w:b/>
                <w:kern w:val="0"/>
                <w:szCs w:val="21"/>
              </w:rPr>
              <w:t>所属专业大类</w:t>
            </w:r>
          </w:p>
          <w:p w14:paraId="04B18E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ahoma"/>
                <w:b/>
                <w:kern w:val="0"/>
                <w:szCs w:val="21"/>
              </w:rPr>
            </w:pPr>
            <w:r>
              <w:rPr>
                <w:rFonts w:hint="eastAsia" w:ascii="宋体" w:hAnsi="宋体" w:cs="Tahoma"/>
                <w:b/>
                <w:kern w:val="0"/>
                <w:szCs w:val="21"/>
              </w:rPr>
              <w:t>（代码）</w:t>
            </w:r>
          </w:p>
        </w:tc>
        <w:tc>
          <w:tcPr>
            <w:tcW w:w="985" w:type="dxa"/>
            <w:vAlign w:val="center"/>
          </w:tcPr>
          <w:p w14:paraId="2AA5A2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ahoma"/>
                <w:b/>
                <w:kern w:val="0"/>
                <w:szCs w:val="21"/>
              </w:rPr>
            </w:pPr>
            <w:r>
              <w:rPr>
                <w:rFonts w:hint="eastAsia" w:ascii="宋体" w:hAnsi="宋体" w:cs="Tahoma"/>
                <w:b/>
                <w:kern w:val="0"/>
                <w:szCs w:val="21"/>
              </w:rPr>
              <w:t>所属专业类</w:t>
            </w:r>
          </w:p>
          <w:p w14:paraId="2F4ADE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ahoma"/>
                <w:b/>
                <w:kern w:val="0"/>
                <w:szCs w:val="21"/>
              </w:rPr>
            </w:pPr>
            <w:r>
              <w:rPr>
                <w:rFonts w:hint="eastAsia" w:ascii="宋体" w:hAnsi="宋体" w:cs="Tahoma"/>
                <w:b/>
                <w:kern w:val="0"/>
                <w:szCs w:val="21"/>
              </w:rPr>
              <w:t>（代码）</w:t>
            </w:r>
          </w:p>
        </w:tc>
        <w:tc>
          <w:tcPr>
            <w:tcW w:w="1323" w:type="dxa"/>
            <w:vAlign w:val="center"/>
          </w:tcPr>
          <w:p w14:paraId="6646CC02">
            <w:pPr>
              <w:keepNext w:val="0"/>
              <w:keepLines w:val="0"/>
              <w:pageBreakBefore w:val="0"/>
              <w:wordWrap/>
              <w:overflowPunct/>
              <w:topLinePunct w:val="0"/>
              <w:bidi w:val="0"/>
              <w:spacing w:line="440" w:lineRule="exact"/>
              <w:jc w:val="center"/>
              <w:rPr>
                <w:rFonts w:hint="eastAsia" w:ascii="宋体" w:hAnsi="宋体" w:cs="Tahoma"/>
                <w:b/>
                <w:kern w:val="0"/>
                <w:szCs w:val="21"/>
              </w:rPr>
            </w:pPr>
            <w:r>
              <w:rPr>
                <w:rFonts w:hint="eastAsia" w:ascii="宋体" w:hAnsi="宋体" w:cs="Tahoma"/>
                <w:b/>
                <w:kern w:val="0"/>
                <w:szCs w:val="21"/>
              </w:rPr>
              <w:t>对应行业（代码）</w:t>
            </w:r>
          </w:p>
        </w:tc>
        <w:tc>
          <w:tcPr>
            <w:tcW w:w="2368" w:type="dxa"/>
            <w:vAlign w:val="center"/>
          </w:tcPr>
          <w:p w14:paraId="450D5E10">
            <w:pPr>
              <w:keepNext w:val="0"/>
              <w:keepLines w:val="0"/>
              <w:pageBreakBefore w:val="0"/>
              <w:wordWrap/>
              <w:overflowPunct/>
              <w:topLinePunct w:val="0"/>
              <w:bidi w:val="0"/>
              <w:spacing w:line="440" w:lineRule="exact"/>
              <w:jc w:val="center"/>
              <w:rPr>
                <w:rFonts w:hint="eastAsia" w:ascii="宋体" w:hAnsi="宋体" w:cs="Tahoma"/>
                <w:b/>
                <w:kern w:val="0"/>
                <w:szCs w:val="21"/>
              </w:rPr>
            </w:pPr>
            <w:r>
              <w:rPr>
                <w:rFonts w:hint="eastAsia" w:ascii="宋体" w:hAnsi="宋体" w:cs="Tahoma"/>
                <w:b/>
                <w:kern w:val="0"/>
                <w:szCs w:val="21"/>
              </w:rPr>
              <w:t>主要职业类别（代码）</w:t>
            </w:r>
          </w:p>
        </w:tc>
        <w:tc>
          <w:tcPr>
            <w:tcW w:w="1978" w:type="dxa"/>
            <w:vAlign w:val="center"/>
          </w:tcPr>
          <w:p w14:paraId="2CDE76E3">
            <w:pPr>
              <w:keepNext w:val="0"/>
              <w:keepLines w:val="0"/>
              <w:pageBreakBefore w:val="0"/>
              <w:wordWrap/>
              <w:overflowPunct/>
              <w:topLinePunct w:val="0"/>
              <w:bidi w:val="0"/>
              <w:spacing w:line="440" w:lineRule="exact"/>
              <w:jc w:val="center"/>
              <w:rPr>
                <w:rFonts w:hint="eastAsia" w:ascii="宋体" w:hAnsi="宋体" w:cs="Tahoma"/>
                <w:b/>
                <w:kern w:val="0"/>
                <w:szCs w:val="21"/>
              </w:rPr>
            </w:pPr>
            <w:r>
              <w:rPr>
                <w:rFonts w:hint="eastAsia" w:ascii="宋体" w:hAnsi="宋体" w:cs="Tahoma"/>
                <w:b/>
                <w:kern w:val="0"/>
                <w:szCs w:val="21"/>
              </w:rPr>
              <w:t>主要岗位（群）或技术领域</w:t>
            </w:r>
          </w:p>
        </w:tc>
        <w:tc>
          <w:tcPr>
            <w:tcW w:w="2136" w:type="dxa"/>
            <w:vAlign w:val="center"/>
          </w:tcPr>
          <w:p w14:paraId="6D83AB98">
            <w:pPr>
              <w:keepNext w:val="0"/>
              <w:keepLines w:val="0"/>
              <w:pageBreakBefore w:val="0"/>
              <w:wordWrap/>
              <w:overflowPunct/>
              <w:topLinePunct w:val="0"/>
              <w:bidi w:val="0"/>
              <w:spacing w:line="440" w:lineRule="exact"/>
              <w:jc w:val="center"/>
              <w:rPr>
                <w:rFonts w:hint="eastAsia" w:ascii="宋体" w:hAnsi="宋体" w:cs="Tahoma"/>
                <w:b/>
                <w:kern w:val="0"/>
                <w:szCs w:val="21"/>
              </w:rPr>
            </w:pPr>
            <w:r>
              <w:rPr>
                <w:rFonts w:hint="eastAsia" w:ascii="宋体" w:hAnsi="宋体" w:cs="Tahoma"/>
                <w:b/>
                <w:kern w:val="0"/>
                <w:szCs w:val="21"/>
              </w:rPr>
              <w:t>职业资格证书或技能等级证书举例</w:t>
            </w:r>
          </w:p>
        </w:tc>
      </w:tr>
      <w:tr w14:paraId="099BC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8" w:hRule="atLeast"/>
        </w:trPr>
        <w:tc>
          <w:tcPr>
            <w:tcW w:w="967" w:type="dxa"/>
            <w:vMerge w:val="restart"/>
            <w:vAlign w:val="center"/>
          </w:tcPr>
          <w:p w14:paraId="5D082366">
            <w:pPr>
              <w:keepNext w:val="0"/>
              <w:keepLines w:val="0"/>
              <w:pageBreakBefore w:val="0"/>
              <w:wordWrap/>
              <w:overflowPunct/>
              <w:topLinePunct w:val="0"/>
              <w:bidi w:val="0"/>
              <w:adjustRightInd w:val="0"/>
              <w:snapToGrid w:val="0"/>
              <w:spacing w:line="440" w:lineRule="exact"/>
              <w:rPr>
                <w:rFonts w:hint="default" w:ascii="宋体" w:hAnsi="宋体" w:eastAsia="宋体"/>
                <w:sz w:val="24"/>
                <w:lang w:val="en-US" w:eastAsia="zh-CN"/>
              </w:rPr>
            </w:pPr>
            <w:r>
              <w:rPr>
                <w:rFonts w:hint="eastAsia" w:ascii="宋体" w:hAnsi="宋体"/>
                <w:sz w:val="24"/>
                <w:lang w:val="en-US" w:eastAsia="zh-CN"/>
              </w:rPr>
              <w:t>食品药品与粮食大类</w:t>
            </w:r>
          </w:p>
          <w:p w14:paraId="61AFDBDA">
            <w:pPr>
              <w:keepNext w:val="0"/>
              <w:keepLines w:val="0"/>
              <w:pageBreakBefore w:val="0"/>
              <w:wordWrap/>
              <w:overflowPunct/>
              <w:topLinePunct w:val="0"/>
              <w:bidi w:val="0"/>
              <w:spacing w:line="440" w:lineRule="exact"/>
              <w:jc w:val="center"/>
              <w:rPr>
                <w:rFonts w:hint="eastAsia" w:ascii="宋体" w:hAnsi="宋体" w:cs="Tahoma"/>
                <w:bCs/>
                <w:kern w:val="0"/>
                <w:szCs w:val="21"/>
              </w:rPr>
            </w:pPr>
            <w:r>
              <w:rPr>
                <w:rFonts w:hint="eastAsia" w:ascii="宋体" w:hAnsi="宋体"/>
                <w:szCs w:val="21"/>
              </w:rPr>
              <w:t>（</w:t>
            </w:r>
            <w:r>
              <w:rPr>
                <w:rFonts w:hint="eastAsia" w:ascii="宋体" w:hAnsi="宋体"/>
                <w:szCs w:val="21"/>
                <w:lang w:val="en-US" w:eastAsia="zh-CN"/>
              </w:rPr>
              <w:t>69</w:t>
            </w:r>
            <w:r>
              <w:rPr>
                <w:rFonts w:hint="eastAsia" w:ascii="宋体" w:hAnsi="宋体"/>
                <w:szCs w:val="21"/>
              </w:rPr>
              <w:t>）</w:t>
            </w:r>
          </w:p>
        </w:tc>
        <w:tc>
          <w:tcPr>
            <w:tcW w:w="985" w:type="dxa"/>
            <w:vMerge w:val="restart"/>
            <w:vAlign w:val="center"/>
          </w:tcPr>
          <w:p w14:paraId="2A1D032D">
            <w:pPr>
              <w:keepNext w:val="0"/>
              <w:keepLines w:val="0"/>
              <w:pageBreakBefore w:val="0"/>
              <w:wordWrap/>
              <w:overflowPunct/>
              <w:topLinePunct w:val="0"/>
              <w:bidi w:val="0"/>
              <w:spacing w:line="440" w:lineRule="exact"/>
              <w:jc w:val="center"/>
              <w:rPr>
                <w:rFonts w:hint="default" w:ascii="宋体" w:hAnsi="宋体" w:eastAsia="宋体" w:cs="Tahoma"/>
                <w:bCs/>
                <w:kern w:val="0"/>
                <w:szCs w:val="21"/>
                <w:lang w:val="en-US" w:eastAsia="zh-CN"/>
              </w:rPr>
            </w:pPr>
            <w:r>
              <w:rPr>
                <w:rFonts w:hint="eastAsia" w:ascii="宋体" w:hAnsi="宋体" w:cs="Tahoma"/>
                <w:bCs/>
                <w:kern w:val="0"/>
                <w:szCs w:val="21"/>
                <w:lang w:val="en-US" w:eastAsia="zh-CN"/>
              </w:rPr>
              <w:t>食品类（6901））</w:t>
            </w:r>
          </w:p>
        </w:tc>
        <w:tc>
          <w:tcPr>
            <w:tcW w:w="1323" w:type="dxa"/>
            <w:vAlign w:val="center"/>
          </w:tcPr>
          <w:p w14:paraId="360F90FE">
            <w:pPr>
              <w:keepNext w:val="0"/>
              <w:keepLines w:val="0"/>
              <w:pageBreakBefore w:val="0"/>
              <w:wordWrap/>
              <w:overflowPunct/>
              <w:topLinePunct w:val="0"/>
              <w:bidi w:val="0"/>
              <w:spacing w:line="440" w:lineRule="exact"/>
              <w:jc w:val="center"/>
              <w:rPr>
                <w:rFonts w:hint="eastAsia" w:ascii="宋体" w:hAnsi="宋体" w:cs="Tahoma"/>
                <w:bCs/>
                <w:kern w:val="0"/>
                <w:szCs w:val="21"/>
              </w:rPr>
            </w:pPr>
            <w:r>
              <w:rPr>
                <w:spacing w:val="-1"/>
              </w:rPr>
              <w:t>农副食品加工业（</w:t>
            </w:r>
            <w:r>
              <w:rPr>
                <w:rFonts w:ascii="Times New Roman" w:hAnsi="Times New Roman" w:eastAsia="Times New Roman" w:cs="Times New Roman"/>
                <w:spacing w:val="-1"/>
              </w:rPr>
              <w:t>13</w:t>
            </w:r>
            <w:r>
              <w:rPr>
                <w:spacing w:val="-44"/>
                <w:w w:val="92"/>
              </w:rPr>
              <w:t>）</w:t>
            </w:r>
          </w:p>
        </w:tc>
        <w:tc>
          <w:tcPr>
            <w:tcW w:w="2368" w:type="dxa"/>
            <w:vMerge w:val="restart"/>
            <w:vAlign w:val="center"/>
          </w:tcPr>
          <w:p w14:paraId="7047F888">
            <w:pPr>
              <w:keepNext w:val="0"/>
              <w:keepLines w:val="0"/>
              <w:pageBreakBefore w:val="0"/>
              <w:wordWrap/>
              <w:overflowPunct/>
              <w:topLinePunct w:val="0"/>
              <w:bidi w:val="0"/>
              <w:spacing w:line="440" w:lineRule="exact"/>
              <w:jc w:val="left"/>
              <w:rPr>
                <w:spacing w:val="-1"/>
              </w:rPr>
            </w:pPr>
            <w:r>
              <w:rPr>
                <w:spacing w:val="-1"/>
              </w:rPr>
              <w:t>检验、检测和计量服务人员（4-08-05）</w:t>
            </w:r>
          </w:p>
          <w:p w14:paraId="64D3AC7C">
            <w:pPr>
              <w:keepNext w:val="0"/>
              <w:keepLines w:val="0"/>
              <w:pageBreakBefore w:val="0"/>
              <w:wordWrap/>
              <w:overflowPunct/>
              <w:topLinePunct w:val="0"/>
              <w:bidi w:val="0"/>
              <w:spacing w:line="440" w:lineRule="exact"/>
              <w:jc w:val="left"/>
              <w:rPr>
                <w:spacing w:val="-1"/>
              </w:rPr>
            </w:pPr>
            <w:r>
              <w:rPr>
                <w:spacing w:val="-1"/>
              </w:rPr>
              <w:t>果蔬和坚果加工人员（6-01-06）</w:t>
            </w:r>
          </w:p>
          <w:p w14:paraId="531611F8">
            <w:pPr>
              <w:keepNext w:val="0"/>
              <w:keepLines w:val="0"/>
              <w:pageBreakBefore w:val="0"/>
              <w:wordWrap/>
              <w:overflowPunct/>
              <w:topLinePunct w:val="0"/>
              <w:bidi w:val="0"/>
              <w:spacing w:line="440" w:lineRule="exact"/>
              <w:jc w:val="left"/>
              <w:rPr>
                <w:spacing w:val="-1"/>
              </w:rPr>
            </w:pPr>
            <w:r>
              <w:rPr>
                <w:spacing w:val="-1"/>
              </w:rPr>
              <w:t>焙烤食品制造人员（6-02-01）</w:t>
            </w:r>
          </w:p>
          <w:p w14:paraId="1B5A6646">
            <w:pPr>
              <w:keepNext w:val="0"/>
              <w:keepLines w:val="0"/>
              <w:pageBreakBefore w:val="0"/>
              <w:wordWrap/>
              <w:overflowPunct/>
              <w:topLinePunct w:val="0"/>
              <w:bidi w:val="0"/>
              <w:spacing w:line="440" w:lineRule="exact"/>
              <w:jc w:val="left"/>
              <w:rPr>
                <w:spacing w:val="-1"/>
              </w:rPr>
            </w:pPr>
            <w:r>
              <w:rPr>
                <w:spacing w:val="-1"/>
              </w:rPr>
              <w:t>方便食品和罐头食品加工人员（6-02-03）</w:t>
            </w:r>
          </w:p>
          <w:p w14:paraId="3FA35A67">
            <w:pPr>
              <w:keepNext w:val="0"/>
              <w:keepLines w:val="0"/>
              <w:pageBreakBefore w:val="0"/>
              <w:wordWrap/>
              <w:overflowPunct/>
              <w:topLinePunct w:val="0"/>
              <w:bidi w:val="0"/>
              <w:spacing w:line="440" w:lineRule="exact"/>
              <w:jc w:val="left"/>
              <w:rPr>
                <w:spacing w:val="-1"/>
              </w:rPr>
            </w:pPr>
            <w:r>
              <w:rPr>
                <w:spacing w:val="-1"/>
              </w:rPr>
              <w:t>乳制品加工人员（6-02-04）</w:t>
            </w:r>
          </w:p>
          <w:p w14:paraId="1B34000A">
            <w:pPr>
              <w:keepNext w:val="0"/>
              <w:keepLines w:val="0"/>
              <w:pageBreakBefore w:val="0"/>
              <w:wordWrap/>
              <w:overflowPunct/>
              <w:topLinePunct w:val="0"/>
              <w:bidi w:val="0"/>
              <w:spacing w:line="440" w:lineRule="exact"/>
              <w:jc w:val="left"/>
              <w:rPr>
                <w:rFonts w:hint="eastAsia" w:ascii="宋体" w:hAnsi="宋体" w:cs="Tahoma"/>
                <w:bCs/>
                <w:kern w:val="0"/>
                <w:szCs w:val="21"/>
              </w:rPr>
            </w:pPr>
            <w:r>
              <w:rPr>
                <w:spacing w:val="-1"/>
              </w:rPr>
              <w:t>酒、饮料及精制茶制造人员（6-02-06）</w:t>
            </w:r>
          </w:p>
        </w:tc>
        <w:tc>
          <w:tcPr>
            <w:tcW w:w="1978" w:type="dxa"/>
            <w:vMerge w:val="restart"/>
            <w:vAlign w:val="center"/>
          </w:tcPr>
          <w:p w14:paraId="4C461B1C">
            <w:pPr>
              <w:keepNext w:val="0"/>
              <w:keepLines w:val="0"/>
              <w:pageBreakBefore w:val="0"/>
              <w:wordWrap/>
              <w:overflowPunct/>
              <w:topLinePunct w:val="0"/>
              <w:bidi w:val="0"/>
              <w:spacing w:line="440" w:lineRule="exact"/>
              <w:rPr>
                <w:spacing w:val="-5"/>
              </w:rPr>
            </w:pPr>
            <w:r>
              <w:rPr>
                <w:spacing w:val="-5"/>
              </w:rPr>
              <w:t>食品加工</w:t>
            </w:r>
          </w:p>
          <w:p w14:paraId="212050AA">
            <w:pPr>
              <w:keepNext w:val="0"/>
              <w:keepLines w:val="0"/>
              <w:pageBreakBefore w:val="0"/>
              <w:wordWrap/>
              <w:overflowPunct/>
              <w:topLinePunct w:val="0"/>
              <w:bidi w:val="0"/>
              <w:spacing w:line="440" w:lineRule="exact"/>
              <w:rPr>
                <w:spacing w:val="-5"/>
              </w:rPr>
            </w:pPr>
            <w:r>
              <w:rPr>
                <w:spacing w:val="-5"/>
              </w:rPr>
              <w:t>食品检验检测</w:t>
            </w:r>
          </w:p>
          <w:p w14:paraId="56D6162E">
            <w:pPr>
              <w:keepNext w:val="0"/>
              <w:keepLines w:val="0"/>
              <w:pageBreakBefore w:val="0"/>
              <w:wordWrap/>
              <w:overflowPunct/>
              <w:topLinePunct w:val="0"/>
              <w:bidi w:val="0"/>
              <w:spacing w:line="440" w:lineRule="exact"/>
              <w:rPr>
                <w:spacing w:val="-5"/>
              </w:rPr>
            </w:pPr>
            <w:r>
              <w:rPr>
                <w:spacing w:val="-5"/>
              </w:rPr>
              <w:t>食品生产管理</w:t>
            </w:r>
          </w:p>
          <w:p w14:paraId="4B413948">
            <w:pPr>
              <w:keepNext w:val="0"/>
              <w:keepLines w:val="0"/>
              <w:pageBreakBefore w:val="0"/>
              <w:wordWrap/>
              <w:overflowPunct/>
              <w:topLinePunct w:val="0"/>
              <w:bidi w:val="0"/>
              <w:spacing w:line="440" w:lineRule="exact"/>
              <w:rPr>
                <w:rFonts w:hint="eastAsia" w:ascii="宋体" w:hAnsi="宋体" w:cs="Tahoma"/>
                <w:bCs/>
                <w:kern w:val="0"/>
                <w:szCs w:val="21"/>
              </w:rPr>
            </w:pPr>
            <w:r>
              <w:rPr>
                <w:spacing w:val="-5"/>
              </w:rPr>
              <w:t>食品质</w:t>
            </w:r>
            <w:r>
              <w:rPr>
                <w:spacing w:val="-6"/>
              </w:rPr>
              <w:t>量管理</w:t>
            </w:r>
          </w:p>
        </w:tc>
        <w:tc>
          <w:tcPr>
            <w:tcW w:w="2136" w:type="dxa"/>
            <w:vMerge w:val="restart"/>
            <w:vAlign w:val="center"/>
          </w:tcPr>
          <w:p w14:paraId="1A082D23">
            <w:pPr>
              <w:keepNext w:val="0"/>
              <w:keepLines w:val="0"/>
              <w:pageBreakBefore w:val="0"/>
              <w:wordWrap/>
              <w:overflowPunct/>
              <w:topLinePunct w:val="0"/>
              <w:bidi w:val="0"/>
              <w:spacing w:line="440" w:lineRule="exact"/>
              <w:rPr>
                <w:rFonts w:hint="eastAsia" w:ascii="宋体" w:hAnsi="宋体" w:cs="Tahoma"/>
                <w:bCs/>
                <w:kern w:val="0"/>
                <w:szCs w:val="21"/>
              </w:rPr>
            </w:pPr>
            <w:r>
              <w:rPr>
                <w:rFonts w:hint="eastAsia" w:ascii="宋体" w:hAnsi="宋体" w:cs="Tahoma"/>
                <w:bCs/>
                <w:kern w:val="0"/>
                <w:szCs w:val="21"/>
              </w:rPr>
              <w:t>食品安全管理师</w:t>
            </w:r>
          </w:p>
          <w:p w14:paraId="6226E7E9">
            <w:pPr>
              <w:keepNext w:val="0"/>
              <w:keepLines w:val="0"/>
              <w:pageBreakBefore w:val="0"/>
              <w:wordWrap/>
              <w:overflowPunct/>
              <w:topLinePunct w:val="0"/>
              <w:bidi w:val="0"/>
              <w:spacing w:line="440" w:lineRule="exact"/>
              <w:rPr>
                <w:rFonts w:hint="eastAsia" w:ascii="宋体" w:hAnsi="宋体" w:cs="Tahoma"/>
                <w:bCs/>
                <w:kern w:val="0"/>
                <w:szCs w:val="21"/>
              </w:rPr>
            </w:pPr>
            <w:r>
              <w:rPr>
                <w:rFonts w:hint="eastAsia" w:ascii="宋体" w:hAnsi="宋体" w:cs="Tahoma"/>
                <w:bCs/>
                <w:kern w:val="0"/>
                <w:szCs w:val="21"/>
              </w:rPr>
              <w:t>4-03-02-11</w:t>
            </w:r>
          </w:p>
          <w:p w14:paraId="5AC65FA3">
            <w:pPr>
              <w:keepNext w:val="0"/>
              <w:keepLines w:val="0"/>
              <w:pageBreakBefore w:val="0"/>
              <w:wordWrap/>
              <w:overflowPunct/>
              <w:topLinePunct w:val="0"/>
              <w:bidi w:val="0"/>
              <w:spacing w:line="440" w:lineRule="exact"/>
              <w:rPr>
                <w:rFonts w:hint="eastAsia" w:ascii="宋体" w:hAnsi="宋体" w:cs="Tahoma"/>
                <w:bCs/>
                <w:kern w:val="0"/>
                <w:szCs w:val="21"/>
              </w:rPr>
            </w:pPr>
            <w:r>
              <w:rPr>
                <w:rFonts w:hint="eastAsia" w:ascii="宋体" w:hAnsi="宋体" w:cs="Tahoma"/>
                <w:bCs/>
                <w:kern w:val="0"/>
                <w:szCs w:val="21"/>
              </w:rPr>
              <w:t>农产品食品检验员</w:t>
            </w:r>
          </w:p>
          <w:p w14:paraId="296CFA5D">
            <w:pPr>
              <w:keepNext w:val="0"/>
              <w:keepLines w:val="0"/>
              <w:pageBreakBefore w:val="0"/>
              <w:wordWrap/>
              <w:overflowPunct/>
              <w:topLinePunct w:val="0"/>
              <w:bidi w:val="0"/>
              <w:spacing w:line="440" w:lineRule="exact"/>
              <w:rPr>
                <w:rFonts w:hint="eastAsia" w:ascii="宋体" w:hAnsi="宋体" w:cs="Tahoma"/>
                <w:bCs/>
                <w:kern w:val="0"/>
                <w:szCs w:val="21"/>
              </w:rPr>
            </w:pPr>
            <w:r>
              <w:rPr>
                <w:rFonts w:hint="eastAsia" w:ascii="宋体" w:hAnsi="宋体" w:cs="Tahoma"/>
                <w:bCs/>
                <w:kern w:val="0"/>
                <w:szCs w:val="21"/>
              </w:rPr>
              <w:t>4-08-05-01</w:t>
            </w:r>
          </w:p>
          <w:p w14:paraId="39829FC5">
            <w:pPr>
              <w:keepNext w:val="0"/>
              <w:keepLines w:val="0"/>
              <w:pageBreakBefore w:val="0"/>
              <w:wordWrap/>
              <w:overflowPunct/>
              <w:topLinePunct w:val="0"/>
              <w:bidi w:val="0"/>
              <w:spacing w:line="440" w:lineRule="exact"/>
              <w:rPr>
                <w:rFonts w:hint="eastAsia" w:ascii="宋体" w:hAnsi="宋体" w:cs="Tahoma"/>
                <w:bCs/>
                <w:kern w:val="0"/>
                <w:szCs w:val="21"/>
              </w:rPr>
            </w:pPr>
            <w:r>
              <w:rPr>
                <w:rFonts w:hint="eastAsia" w:ascii="宋体" w:hAnsi="宋体" w:cs="Tahoma"/>
                <w:bCs/>
                <w:kern w:val="0"/>
                <w:szCs w:val="21"/>
              </w:rPr>
              <w:t>饮料制作工</w:t>
            </w:r>
          </w:p>
          <w:p w14:paraId="4A822AA7">
            <w:pPr>
              <w:keepNext w:val="0"/>
              <w:keepLines w:val="0"/>
              <w:pageBreakBefore w:val="0"/>
              <w:wordWrap/>
              <w:overflowPunct/>
              <w:topLinePunct w:val="0"/>
              <w:bidi w:val="0"/>
              <w:spacing w:line="440" w:lineRule="exact"/>
              <w:rPr>
                <w:rFonts w:hint="eastAsia" w:ascii="宋体" w:hAnsi="宋体" w:cs="Tahoma"/>
                <w:bCs/>
                <w:kern w:val="0"/>
                <w:szCs w:val="21"/>
              </w:rPr>
            </w:pPr>
            <w:r>
              <w:rPr>
                <w:rFonts w:hint="eastAsia" w:ascii="宋体" w:hAnsi="宋体" w:cs="Tahoma"/>
                <w:bCs/>
                <w:kern w:val="0"/>
                <w:szCs w:val="21"/>
              </w:rPr>
              <w:t>6-12-03-06</w:t>
            </w:r>
          </w:p>
          <w:p w14:paraId="3D26E63C">
            <w:pPr>
              <w:keepNext w:val="0"/>
              <w:keepLines w:val="0"/>
              <w:pageBreakBefore w:val="0"/>
              <w:wordWrap/>
              <w:overflowPunct/>
              <w:topLinePunct w:val="0"/>
              <w:bidi w:val="0"/>
              <w:spacing w:line="440" w:lineRule="exact"/>
              <w:rPr>
                <w:rFonts w:hint="eastAsia" w:ascii="宋体" w:hAnsi="宋体" w:cs="Tahoma"/>
                <w:bCs/>
                <w:kern w:val="0"/>
                <w:szCs w:val="21"/>
              </w:rPr>
            </w:pPr>
            <w:r>
              <w:rPr>
                <w:rFonts w:hint="eastAsia" w:ascii="宋体" w:hAnsi="宋体" w:cs="Tahoma"/>
                <w:bCs/>
                <w:kern w:val="0"/>
                <w:szCs w:val="21"/>
              </w:rPr>
              <w:t>糕点面包烘焙师</w:t>
            </w:r>
          </w:p>
          <w:p w14:paraId="104307E4">
            <w:pPr>
              <w:keepNext w:val="0"/>
              <w:keepLines w:val="0"/>
              <w:pageBreakBefore w:val="0"/>
              <w:wordWrap/>
              <w:overflowPunct/>
              <w:topLinePunct w:val="0"/>
              <w:bidi w:val="0"/>
              <w:spacing w:line="440" w:lineRule="exact"/>
              <w:rPr>
                <w:rFonts w:hint="eastAsia" w:ascii="宋体" w:hAnsi="宋体" w:cs="Tahoma"/>
                <w:bCs/>
                <w:kern w:val="0"/>
                <w:szCs w:val="21"/>
              </w:rPr>
            </w:pPr>
            <w:r>
              <w:rPr>
                <w:rFonts w:hint="eastAsia" w:ascii="宋体" w:hAnsi="宋体" w:cs="Tahoma"/>
                <w:bCs/>
                <w:kern w:val="0"/>
                <w:szCs w:val="21"/>
              </w:rPr>
              <w:t>6-02-01-01</w:t>
            </w:r>
          </w:p>
        </w:tc>
      </w:tr>
      <w:tr w14:paraId="54971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8" w:hRule="atLeast"/>
        </w:trPr>
        <w:tc>
          <w:tcPr>
            <w:tcW w:w="967" w:type="dxa"/>
            <w:vMerge w:val="continue"/>
            <w:vAlign w:val="center"/>
          </w:tcPr>
          <w:p w14:paraId="37B8B66A">
            <w:pPr>
              <w:keepNext w:val="0"/>
              <w:keepLines w:val="0"/>
              <w:pageBreakBefore w:val="0"/>
              <w:wordWrap/>
              <w:overflowPunct/>
              <w:topLinePunct w:val="0"/>
              <w:bidi w:val="0"/>
              <w:spacing w:line="440" w:lineRule="exact"/>
              <w:ind w:left="210" w:hanging="210" w:hangingChars="100"/>
              <w:jc w:val="center"/>
              <w:rPr>
                <w:rFonts w:hint="eastAsia" w:ascii="宋体" w:hAnsi="宋体"/>
                <w:szCs w:val="21"/>
              </w:rPr>
            </w:pPr>
          </w:p>
        </w:tc>
        <w:tc>
          <w:tcPr>
            <w:tcW w:w="985" w:type="dxa"/>
            <w:vMerge w:val="continue"/>
            <w:vAlign w:val="center"/>
          </w:tcPr>
          <w:p w14:paraId="443ACD62">
            <w:pPr>
              <w:keepNext w:val="0"/>
              <w:keepLines w:val="0"/>
              <w:pageBreakBefore w:val="0"/>
              <w:wordWrap/>
              <w:overflowPunct/>
              <w:topLinePunct w:val="0"/>
              <w:bidi w:val="0"/>
              <w:spacing w:line="440" w:lineRule="exact"/>
              <w:jc w:val="center"/>
              <w:rPr>
                <w:rFonts w:hint="eastAsia" w:ascii="宋体" w:hAnsi="宋体"/>
                <w:szCs w:val="21"/>
              </w:rPr>
            </w:pPr>
          </w:p>
        </w:tc>
        <w:tc>
          <w:tcPr>
            <w:tcW w:w="1323" w:type="dxa"/>
            <w:shd w:val="clear" w:color="auto" w:fill="auto"/>
            <w:vAlign w:val="center"/>
          </w:tcPr>
          <w:p w14:paraId="1EE61061">
            <w:pPr>
              <w:keepNext w:val="0"/>
              <w:keepLines w:val="0"/>
              <w:pageBreakBefore w:val="0"/>
              <w:wordWrap/>
              <w:overflowPunct/>
              <w:topLinePunct w:val="0"/>
              <w:bidi w:val="0"/>
              <w:spacing w:line="440" w:lineRule="exact"/>
              <w:jc w:val="center"/>
              <w:rPr>
                <w:rFonts w:hint="eastAsia" w:ascii="宋体" w:hAnsi="宋体" w:cs="Tahoma"/>
                <w:bCs/>
                <w:kern w:val="0"/>
                <w:szCs w:val="21"/>
              </w:rPr>
            </w:pPr>
            <w:r>
              <w:rPr>
                <w:spacing w:val="-1"/>
              </w:rPr>
              <w:t>食品制造业（</w:t>
            </w:r>
            <w:r>
              <w:rPr>
                <w:rFonts w:ascii="Times New Roman" w:hAnsi="Times New Roman" w:eastAsia="Times New Roman" w:cs="Times New Roman"/>
                <w:spacing w:val="-1"/>
              </w:rPr>
              <w:t>14</w:t>
            </w:r>
            <w:r>
              <w:rPr>
                <w:spacing w:val="-44"/>
                <w:w w:val="92"/>
              </w:rPr>
              <w:t>）</w:t>
            </w:r>
          </w:p>
        </w:tc>
        <w:tc>
          <w:tcPr>
            <w:tcW w:w="2368" w:type="dxa"/>
            <w:vMerge w:val="continue"/>
            <w:vAlign w:val="center"/>
          </w:tcPr>
          <w:p w14:paraId="7B0F22AA">
            <w:pPr>
              <w:keepNext w:val="0"/>
              <w:keepLines w:val="0"/>
              <w:pageBreakBefore w:val="0"/>
              <w:wordWrap/>
              <w:overflowPunct/>
              <w:topLinePunct w:val="0"/>
              <w:bidi w:val="0"/>
              <w:spacing w:line="440" w:lineRule="exact"/>
              <w:jc w:val="center"/>
              <w:rPr>
                <w:rFonts w:hint="eastAsia" w:ascii="宋体" w:hAnsi="宋体" w:cs="Tahoma"/>
                <w:bCs/>
                <w:kern w:val="0"/>
                <w:szCs w:val="21"/>
              </w:rPr>
            </w:pPr>
          </w:p>
        </w:tc>
        <w:tc>
          <w:tcPr>
            <w:tcW w:w="1978" w:type="dxa"/>
            <w:vMerge w:val="continue"/>
            <w:shd w:val="clear" w:color="auto" w:fill="auto"/>
            <w:vAlign w:val="center"/>
          </w:tcPr>
          <w:p w14:paraId="0EB1D443">
            <w:pPr>
              <w:keepNext w:val="0"/>
              <w:keepLines w:val="0"/>
              <w:pageBreakBefore w:val="0"/>
              <w:wordWrap/>
              <w:overflowPunct/>
              <w:topLinePunct w:val="0"/>
              <w:bidi w:val="0"/>
              <w:spacing w:line="440" w:lineRule="exact"/>
              <w:jc w:val="center"/>
              <w:rPr>
                <w:rFonts w:hint="eastAsia" w:ascii="宋体" w:hAnsi="宋体" w:cs="Tahoma"/>
                <w:bCs/>
                <w:kern w:val="0"/>
                <w:szCs w:val="21"/>
              </w:rPr>
            </w:pPr>
          </w:p>
        </w:tc>
        <w:tc>
          <w:tcPr>
            <w:tcW w:w="2136" w:type="dxa"/>
            <w:vMerge w:val="continue"/>
            <w:shd w:val="clear" w:color="auto" w:fill="auto"/>
            <w:vAlign w:val="center"/>
          </w:tcPr>
          <w:p w14:paraId="5728D598">
            <w:pPr>
              <w:keepNext w:val="0"/>
              <w:keepLines w:val="0"/>
              <w:pageBreakBefore w:val="0"/>
              <w:wordWrap/>
              <w:overflowPunct/>
              <w:topLinePunct w:val="0"/>
              <w:bidi w:val="0"/>
              <w:spacing w:line="440" w:lineRule="exact"/>
              <w:rPr>
                <w:rFonts w:hint="eastAsia" w:ascii="宋体" w:hAnsi="宋体" w:cs="Tahoma"/>
                <w:bCs/>
                <w:kern w:val="0"/>
                <w:szCs w:val="21"/>
                <w:highlight w:val="yellow"/>
              </w:rPr>
            </w:pPr>
          </w:p>
        </w:tc>
      </w:tr>
      <w:tr w14:paraId="72ADD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8" w:hRule="atLeast"/>
        </w:trPr>
        <w:tc>
          <w:tcPr>
            <w:tcW w:w="967" w:type="dxa"/>
            <w:vMerge w:val="continue"/>
            <w:vAlign w:val="center"/>
          </w:tcPr>
          <w:p w14:paraId="44783A1B">
            <w:pPr>
              <w:keepNext w:val="0"/>
              <w:keepLines w:val="0"/>
              <w:pageBreakBefore w:val="0"/>
              <w:wordWrap/>
              <w:overflowPunct/>
              <w:topLinePunct w:val="0"/>
              <w:bidi w:val="0"/>
              <w:spacing w:line="440" w:lineRule="exact"/>
              <w:ind w:left="210" w:hanging="210" w:hangingChars="100"/>
              <w:jc w:val="center"/>
              <w:rPr>
                <w:rFonts w:hint="eastAsia" w:ascii="宋体" w:hAnsi="宋体"/>
                <w:szCs w:val="21"/>
              </w:rPr>
            </w:pPr>
          </w:p>
        </w:tc>
        <w:tc>
          <w:tcPr>
            <w:tcW w:w="985" w:type="dxa"/>
            <w:vMerge w:val="continue"/>
            <w:vAlign w:val="center"/>
          </w:tcPr>
          <w:p w14:paraId="535A0236">
            <w:pPr>
              <w:keepNext w:val="0"/>
              <w:keepLines w:val="0"/>
              <w:pageBreakBefore w:val="0"/>
              <w:wordWrap/>
              <w:overflowPunct/>
              <w:topLinePunct w:val="0"/>
              <w:bidi w:val="0"/>
              <w:spacing w:line="440" w:lineRule="exact"/>
              <w:jc w:val="center"/>
              <w:rPr>
                <w:rFonts w:hint="eastAsia" w:ascii="宋体" w:hAnsi="宋体"/>
                <w:szCs w:val="21"/>
              </w:rPr>
            </w:pPr>
          </w:p>
        </w:tc>
        <w:tc>
          <w:tcPr>
            <w:tcW w:w="1323" w:type="dxa"/>
            <w:shd w:val="clear" w:color="auto" w:fill="auto"/>
            <w:vAlign w:val="center"/>
          </w:tcPr>
          <w:p w14:paraId="3F13BABE">
            <w:pPr>
              <w:keepNext w:val="0"/>
              <w:keepLines w:val="0"/>
              <w:pageBreakBefore w:val="0"/>
              <w:wordWrap/>
              <w:overflowPunct/>
              <w:topLinePunct w:val="0"/>
              <w:bidi w:val="0"/>
              <w:spacing w:line="440" w:lineRule="exact"/>
              <w:jc w:val="center"/>
              <w:rPr>
                <w:rFonts w:hint="eastAsia" w:ascii="宋体" w:hAnsi="宋体" w:cs="Tahoma"/>
                <w:bCs/>
                <w:kern w:val="0"/>
                <w:szCs w:val="21"/>
              </w:rPr>
            </w:pPr>
            <w:r>
              <w:rPr>
                <w:spacing w:val="-1"/>
              </w:rPr>
              <w:t>酒、饮料和</w:t>
            </w:r>
            <w:r>
              <w:rPr>
                <w:spacing w:val="-2"/>
              </w:rPr>
              <w:t>精制茶制造业（</w:t>
            </w:r>
            <w:r>
              <w:rPr>
                <w:rFonts w:ascii="Times New Roman" w:hAnsi="Times New Roman" w:eastAsia="Times New Roman" w:cs="Times New Roman"/>
                <w:spacing w:val="-2"/>
              </w:rPr>
              <w:t>15</w:t>
            </w:r>
            <w:r>
              <w:rPr>
                <w:spacing w:val="-2"/>
              </w:rPr>
              <w:t>）</w:t>
            </w:r>
          </w:p>
        </w:tc>
        <w:tc>
          <w:tcPr>
            <w:tcW w:w="2368" w:type="dxa"/>
            <w:vMerge w:val="continue"/>
            <w:vAlign w:val="center"/>
          </w:tcPr>
          <w:p w14:paraId="72EFDECA">
            <w:pPr>
              <w:keepNext w:val="0"/>
              <w:keepLines w:val="0"/>
              <w:pageBreakBefore w:val="0"/>
              <w:wordWrap/>
              <w:overflowPunct/>
              <w:topLinePunct w:val="0"/>
              <w:bidi w:val="0"/>
              <w:spacing w:line="440" w:lineRule="exact"/>
              <w:jc w:val="center"/>
              <w:rPr>
                <w:rFonts w:hint="eastAsia" w:ascii="宋体" w:hAnsi="宋体" w:cs="Tahoma"/>
                <w:bCs/>
                <w:kern w:val="0"/>
                <w:szCs w:val="21"/>
              </w:rPr>
            </w:pPr>
          </w:p>
        </w:tc>
        <w:tc>
          <w:tcPr>
            <w:tcW w:w="1978" w:type="dxa"/>
            <w:vMerge w:val="continue"/>
            <w:shd w:val="clear" w:color="auto" w:fill="auto"/>
            <w:vAlign w:val="center"/>
          </w:tcPr>
          <w:p w14:paraId="7742EE6E">
            <w:pPr>
              <w:keepNext w:val="0"/>
              <w:keepLines w:val="0"/>
              <w:pageBreakBefore w:val="0"/>
              <w:wordWrap/>
              <w:overflowPunct/>
              <w:topLinePunct w:val="0"/>
              <w:bidi w:val="0"/>
              <w:spacing w:line="440" w:lineRule="exact"/>
              <w:jc w:val="center"/>
              <w:rPr>
                <w:rFonts w:hint="eastAsia" w:ascii="宋体" w:hAnsi="宋体" w:cs="Tahoma"/>
                <w:bCs/>
                <w:kern w:val="0"/>
                <w:szCs w:val="21"/>
              </w:rPr>
            </w:pPr>
          </w:p>
        </w:tc>
        <w:tc>
          <w:tcPr>
            <w:tcW w:w="2136" w:type="dxa"/>
            <w:vMerge w:val="continue"/>
            <w:shd w:val="clear" w:color="auto" w:fill="auto"/>
            <w:vAlign w:val="center"/>
          </w:tcPr>
          <w:p w14:paraId="5DC1E653">
            <w:pPr>
              <w:keepNext w:val="0"/>
              <w:keepLines w:val="0"/>
              <w:pageBreakBefore w:val="0"/>
              <w:wordWrap/>
              <w:overflowPunct/>
              <w:topLinePunct w:val="0"/>
              <w:bidi w:val="0"/>
              <w:spacing w:line="440" w:lineRule="exact"/>
              <w:jc w:val="center"/>
              <w:rPr>
                <w:rFonts w:hint="eastAsia" w:ascii="宋体" w:hAnsi="宋体" w:cs="Tahoma"/>
                <w:bCs/>
                <w:kern w:val="0"/>
                <w:szCs w:val="21"/>
                <w:highlight w:val="yellow"/>
              </w:rPr>
            </w:pPr>
          </w:p>
        </w:tc>
      </w:tr>
    </w:tbl>
    <w:p w14:paraId="12C83700">
      <w:pPr>
        <w:pStyle w:val="3"/>
        <w:bidi w:val="0"/>
        <w:rPr>
          <w:rFonts w:hint="eastAsia"/>
          <w:sz w:val="24"/>
          <w:szCs w:val="24"/>
        </w:rPr>
      </w:pPr>
      <w:bookmarkStart w:id="5" w:name="_Toc843255131"/>
      <w:r>
        <w:rPr>
          <w:rFonts w:hint="eastAsia"/>
          <w:sz w:val="24"/>
          <w:szCs w:val="24"/>
        </w:rPr>
        <w:t>（二）接续专业</w:t>
      </w:r>
      <w:bookmarkEnd w:id="5"/>
    </w:p>
    <w:p w14:paraId="4114A7A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b/>
          <w:bCs/>
          <w:sz w:val="24"/>
          <w:szCs w:val="24"/>
        </w:rPr>
        <w:t>高职专科：</w:t>
      </w:r>
      <w:r>
        <w:rPr>
          <w:rFonts w:hint="eastAsia"/>
          <w:sz w:val="24"/>
          <w:szCs w:val="24"/>
        </w:rPr>
        <w:t>食品智能加工技术、食品质量与安全、食品检验检测技术、食品营养与健康；</w:t>
      </w:r>
    </w:p>
    <w:p w14:paraId="3F018DE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b/>
          <w:bCs/>
          <w:sz w:val="24"/>
          <w:szCs w:val="24"/>
        </w:rPr>
        <w:t>高职本科：</w:t>
      </w:r>
      <w:r>
        <w:rPr>
          <w:rFonts w:hint="eastAsia"/>
          <w:sz w:val="24"/>
          <w:szCs w:val="24"/>
        </w:rPr>
        <w:t>食品工程技术、食品质量与安全、食品营养与健康；</w:t>
      </w:r>
    </w:p>
    <w:p w14:paraId="18B06E9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b/>
          <w:bCs/>
          <w:sz w:val="24"/>
          <w:szCs w:val="24"/>
        </w:rPr>
        <w:t>普通本科：</w:t>
      </w:r>
      <w:r>
        <w:rPr>
          <w:rFonts w:hint="eastAsia"/>
          <w:sz w:val="24"/>
          <w:szCs w:val="24"/>
        </w:rPr>
        <w:t>食品科学与工程、食品质量与安全、食品营养与健康。</w:t>
      </w:r>
    </w:p>
    <w:p w14:paraId="01EF78DA">
      <w:pPr>
        <w:pStyle w:val="2"/>
        <w:bidi w:val="0"/>
        <w:rPr>
          <w:rFonts w:hint="eastAsia" w:ascii="黑体" w:hAnsi="黑体" w:eastAsia="黑体" w:cs="黑体"/>
          <w:b w:val="0"/>
          <w:bCs/>
          <w:sz w:val="28"/>
          <w:szCs w:val="28"/>
        </w:rPr>
      </w:pPr>
      <w:bookmarkStart w:id="6" w:name="_Toc1344400164"/>
      <w:r>
        <w:rPr>
          <w:rFonts w:hint="eastAsia" w:ascii="黑体" w:hAnsi="黑体" w:eastAsia="黑体" w:cs="黑体"/>
          <w:b w:val="0"/>
          <w:bCs/>
          <w:sz w:val="28"/>
          <w:szCs w:val="28"/>
        </w:rPr>
        <w:t>五、培养目标与培养规格</w:t>
      </w:r>
      <w:bookmarkEnd w:id="6"/>
    </w:p>
    <w:p w14:paraId="5AFC0727">
      <w:pPr>
        <w:pStyle w:val="3"/>
        <w:bidi w:val="0"/>
        <w:rPr>
          <w:rFonts w:hint="eastAsia"/>
          <w:sz w:val="24"/>
          <w:szCs w:val="24"/>
        </w:rPr>
      </w:pPr>
      <w:bookmarkStart w:id="7" w:name="_Toc1658106261"/>
      <w:r>
        <w:rPr>
          <w:rFonts w:hint="eastAsia"/>
          <w:sz w:val="24"/>
          <w:szCs w:val="24"/>
        </w:rPr>
        <w:t>（一）培养目标</w:t>
      </w:r>
      <w:bookmarkEnd w:id="7"/>
    </w:p>
    <w:p w14:paraId="29019BB5">
      <w:pPr>
        <w:keepNext w:val="0"/>
        <w:keepLines w:val="0"/>
        <w:pageBreakBefore w:val="0"/>
        <w:kinsoku/>
        <w:wordWrap/>
        <w:overflowPunct/>
        <w:topLinePunct w:val="0"/>
        <w:autoSpaceDE/>
        <w:autoSpaceDN/>
        <w:bidi w:val="0"/>
        <w:adjustRightInd/>
        <w:snapToGrid/>
        <w:spacing w:line="440" w:lineRule="exact"/>
        <w:ind w:firstLine="480" w:firstLineChars="200"/>
        <w:textAlignment w:val="auto"/>
      </w:pPr>
      <w:r>
        <w:rPr>
          <w:rFonts w:hint="eastAsia"/>
          <w:sz w:val="24"/>
        </w:rPr>
        <w:t>本专业培养能够践行社会主义核心价值观，传承技能文明，德智体美劳全面发展，具有良好的人文素养、科学素养、数字素养、职业道德，爱岗敬业的职业精神和精益求精的工匠精神，扎实的文化基础知识、较强的就业创业能力和学习能力，掌握本专业知识和技术技能，具备职业综合素质和行动能力，面向农副食品加工业、食品制造业以及酒、饮料和精制茶制造业的食品加工、食品检验检测、食品生产管理、食品质量管理岗位（群），能够从事食品原辅料处理、生产加工、检验检测、生产管理（助理）、质量管理（助理）工作的技能人才。</w:t>
      </w:r>
    </w:p>
    <w:p w14:paraId="759D4CDE">
      <w:pPr>
        <w:pStyle w:val="3"/>
        <w:bidi w:val="0"/>
        <w:rPr>
          <w:rFonts w:hint="eastAsia"/>
          <w:sz w:val="24"/>
          <w:szCs w:val="24"/>
        </w:rPr>
      </w:pPr>
      <w:bookmarkStart w:id="8" w:name="_Toc2044125155"/>
      <w:r>
        <w:rPr>
          <w:rFonts w:hint="eastAsia"/>
          <w:sz w:val="24"/>
          <w:szCs w:val="24"/>
        </w:rPr>
        <w:t>（二）培养规格</w:t>
      </w:r>
      <w:bookmarkEnd w:id="8"/>
    </w:p>
    <w:p w14:paraId="2E9AD1DE">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本专业学生应全面提升知识、能力、素质，筑牢科学文化知识和专业类通用技术技能基础，掌握并实际运用岗位（群）需要的专业技术技能，实现德智体美劳全面发展，总体上须达到以下要求：</w:t>
      </w:r>
    </w:p>
    <w:p w14:paraId="50F525A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jc w:val="left"/>
        <w:textAlignment w:val="auto"/>
        <w:rPr>
          <w:color w:val="000000"/>
          <w:sz w:val="24"/>
          <w:szCs w:val="24"/>
        </w:rPr>
      </w:pPr>
      <w:bookmarkStart w:id="9" w:name="_Toc168095379"/>
      <w:r>
        <w:rPr>
          <w:rFonts w:hint="eastAsia"/>
          <w:color w:val="000000"/>
          <w:sz w:val="24"/>
          <w:szCs w:val="24"/>
          <w:lang w:val="en-US" w:eastAsia="zh-CN"/>
        </w:rPr>
        <w:t>1.</w:t>
      </w:r>
      <w:r>
        <w:rPr>
          <w:color w:val="000000"/>
          <w:sz w:val="24"/>
          <w:szCs w:val="24"/>
        </w:rPr>
        <w:t>素养目标</w:t>
      </w:r>
      <w:bookmarkEnd w:id="9"/>
    </w:p>
    <w:p w14:paraId="0233C9F8">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rFonts w:hint="eastAsia"/>
          <w:color w:val="000000"/>
          <w:sz w:val="24"/>
          <w:szCs w:val="24"/>
          <w:lang w:eastAsia="zh-CN"/>
        </w:rPr>
      </w:pPr>
      <w:r>
        <w:rPr>
          <w:rFonts w:hint="eastAsia"/>
          <w:color w:val="000000"/>
          <w:sz w:val="24"/>
          <w:szCs w:val="24"/>
        </w:rPr>
        <w:t>政治思想素养：坚定拥护中国共产党领导和中国特色社会主义制度，以习近平新时代中国特色社会主义思想为指导，践行社会主义核心价值观，筑牢理想信念根基，厚植爱国情怀，增强中华民族自豪感与认同感</w:t>
      </w:r>
      <w:r>
        <w:rPr>
          <w:rFonts w:hint="eastAsia"/>
          <w:color w:val="000000"/>
          <w:sz w:val="24"/>
          <w:szCs w:val="24"/>
          <w:lang w:eastAsia="zh-CN"/>
        </w:rPr>
        <w:t>。</w:t>
      </w:r>
    </w:p>
    <w:p w14:paraId="2727C453">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rFonts w:hint="eastAsia"/>
          <w:color w:val="000000"/>
          <w:sz w:val="24"/>
          <w:szCs w:val="24"/>
        </w:rPr>
      </w:pPr>
      <w:r>
        <w:rPr>
          <w:rFonts w:hint="eastAsia"/>
          <w:color w:val="000000"/>
          <w:sz w:val="24"/>
          <w:szCs w:val="24"/>
        </w:rPr>
        <w:t>职业道德素养：熟知食品行业法律法规与行业规范，恪守食品安全底线与职业道德准则；弘扬劳模精神、劳动精神、工匠精神，具备爱岗敬业、诚实守信、严谨负责的职业态度，树立质量至上、安全第一的职业理念，强化社会责任感与担当意识。</w:t>
      </w:r>
    </w:p>
    <w:p w14:paraId="5C8B86D4">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rFonts w:hint="eastAsia"/>
          <w:color w:val="000000"/>
          <w:sz w:val="24"/>
          <w:szCs w:val="24"/>
        </w:rPr>
      </w:pPr>
      <w:r>
        <w:rPr>
          <w:rFonts w:hint="eastAsia"/>
          <w:color w:val="000000"/>
          <w:sz w:val="24"/>
          <w:szCs w:val="24"/>
        </w:rPr>
        <w:t>文化综合素养：具备良好的人文与科学素养，掌握语文、历史、数学、外语、</w:t>
      </w:r>
      <w:r>
        <w:rPr>
          <w:rFonts w:hint="eastAsia"/>
          <w:color w:val="000000"/>
          <w:sz w:val="24"/>
          <w:szCs w:val="24"/>
          <w:highlight w:val="yellow"/>
        </w:rPr>
        <w:t>信息技术</w:t>
      </w:r>
      <w:r>
        <w:rPr>
          <w:rFonts w:hint="eastAsia"/>
          <w:color w:val="000000"/>
          <w:sz w:val="24"/>
          <w:szCs w:val="24"/>
        </w:rPr>
        <w:t>等基础文化知识；拥有清晰的语言与文字表达、高效沟通协作能力，具备集体意识与团队精神，能运用外语开展专业基础交流。</w:t>
      </w:r>
    </w:p>
    <w:p w14:paraId="2156B155">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rFonts w:hint="eastAsia"/>
          <w:color w:val="000000"/>
          <w:sz w:val="24"/>
          <w:szCs w:val="24"/>
        </w:rPr>
      </w:pPr>
      <w:r>
        <w:rPr>
          <w:rFonts w:hint="eastAsia"/>
          <w:color w:val="000000"/>
          <w:sz w:val="24"/>
          <w:szCs w:val="24"/>
        </w:rPr>
        <w:t>身心与美育素养：掌握体育健身与卫生保健知识，熟练掌握 1 项体育运动技能，养成健康运动与卫生习惯；具备心理调适能力，保持积极健全心态；掌握基础美育知识，拥有一定审美能力与文化修养，形成 1 项艺术特长或爱好。</w:t>
      </w:r>
    </w:p>
    <w:p w14:paraId="095B12E0">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rFonts w:hint="eastAsia"/>
          <w:color w:val="000000"/>
          <w:sz w:val="24"/>
          <w:szCs w:val="24"/>
          <w:highlight w:val="yellow"/>
        </w:rPr>
      </w:pPr>
      <w:r>
        <w:rPr>
          <w:rFonts w:hint="eastAsia"/>
          <w:color w:val="000000"/>
          <w:sz w:val="24"/>
          <w:szCs w:val="24"/>
        </w:rPr>
        <w:t>劳动与数字素养：树立正确劳动观，尊重劳动、热爱劳动，具备适配食品行业的劳动素养</w:t>
      </w:r>
      <w:r>
        <w:rPr>
          <w:rFonts w:hint="eastAsia"/>
          <w:color w:val="000000"/>
          <w:sz w:val="24"/>
          <w:szCs w:val="24"/>
          <w:highlight w:val="yellow"/>
        </w:rPr>
        <w:t>；顺应行业数字化、智能化发展趋势，掌握基础数字技能，具备数字化学习与岗位适配能力。</w:t>
      </w:r>
    </w:p>
    <w:p w14:paraId="157A1A91">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rFonts w:hint="eastAsia"/>
          <w:color w:val="000000"/>
          <w:sz w:val="24"/>
          <w:szCs w:val="24"/>
        </w:rPr>
      </w:pPr>
      <w:r>
        <w:rPr>
          <w:rFonts w:hint="eastAsia"/>
          <w:color w:val="000000"/>
          <w:sz w:val="24"/>
          <w:szCs w:val="24"/>
        </w:rPr>
        <w:t>安全环保素养：掌握绿色生产、环境保护、安全防护知识，树立食品生产安全、环保与质量意识，遵守食品企业安全生产与清洁生产规范，具备风险识别与初步应急处置能力。</w:t>
      </w:r>
    </w:p>
    <w:p w14:paraId="54A83F6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jc w:val="left"/>
        <w:textAlignment w:val="auto"/>
        <w:rPr>
          <w:color w:val="000000"/>
          <w:sz w:val="24"/>
          <w:szCs w:val="24"/>
        </w:rPr>
      </w:pPr>
      <w:bookmarkStart w:id="10" w:name="_Toc1238039048"/>
      <w:r>
        <w:rPr>
          <w:rFonts w:hint="eastAsia"/>
          <w:color w:val="000000"/>
          <w:sz w:val="24"/>
          <w:szCs w:val="24"/>
          <w:lang w:val="en-US" w:eastAsia="zh-CN"/>
        </w:rPr>
        <w:t>2.</w:t>
      </w:r>
      <w:r>
        <w:rPr>
          <w:color w:val="000000"/>
          <w:sz w:val="24"/>
          <w:szCs w:val="24"/>
        </w:rPr>
        <w:t>知识目标</w:t>
      </w:r>
      <w:bookmarkEnd w:id="10"/>
    </w:p>
    <w:p w14:paraId="164D05AA">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掌握语文、历史、数学、英语、</w:t>
      </w:r>
      <w:r>
        <w:rPr>
          <w:color w:val="000000"/>
          <w:sz w:val="24"/>
          <w:szCs w:val="24"/>
          <w:highlight w:val="yellow"/>
        </w:rPr>
        <w:t>信息技术</w:t>
      </w:r>
      <w:r>
        <w:rPr>
          <w:color w:val="000000"/>
          <w:sz w:val="24"/>
          <w:szCs w:val="24"/>
        </w:rPr>
        <w:t>、思想政治、体育与艺术等公共基础课程知识，夯实专业学习根基，具备职业生涯规划与终身学习基础能力。</w:t>
      </w:r>
    </w:p>
    <w:p w14:paraId="6571969D">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掌握食品原料学、食品加工工艺学、食品营养与健康、食品化学、食品微生物学基础理论。</w:t>
      </w:r>
    </w:p>
    <w:p w14:paraId="5820D60A">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熟悉食品法律法规、食品安全标准、食品生产许可与质量管理体系核心内容。</w:t>
      </w:r>
    </w:p>
    <w:p w14:paraId="4464B197">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了解食品行业文化、产业发展趋势与职业岗位规范。</w:t>
      </w:r>
    </w:p>
    <w:p w14:paraId="79B5CE62">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掌握食品智能加工技术、食品添加剂与配料应用、食品机械与设备原理、食品检验检测技术、食品安全与质量控制、食品贮运与保鲜理论。</w:t>
      </w:r>
    </w:p>
    <w:p w14:paraId="3DDAEDDC">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掌握食品生产许可、ISO22000、HACCP、绿色工厂、清洁生产等标准化体系基础知识。</w:t>
      </w:r>
    </w:p>
    <w:p w14:paraId="62AA36D9">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掌握食品企业生产管理、质量管理、安全管理基本理论；</w:t>
      </w:r>
    </w:p>
    <w:p w14:paraId="72AD847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熟悉食品原辅料验收、生产过程控制、成品检验出厂、仓储物流全流程规范；</w:t>
      </w:r>
    </w:p>
    <w:p w14:paraId="3CD90E62">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了解食品行业数字化、智能化生产基础理论。</w:t>
      </w:r>
    </w:p>
    <w:p w14:paraId="66011A7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jc w:val="left"/>
        <w:textAlignment w:val="auto"/>
        <w:rPr>
          <w:color w:val="000000"/>
          <w:sz w:val="24"/>
          <w:szCs w:val="24"/>
        </w:rPr>
      </w:pPr>
      <w:bookmarkStart w:id="11" w:name="_Toc753223953"/>
      <w:r>
        <w:rPr>
          <w:rFonts w:hint="eastAsia"/>
          <w:color w:val="000000"/>
          <w:sz w:val="24"/>
          <w:szCs w:val="24"/>
          <w:lang w:val="en-US" w:eastAsia="zh-CN"/>
        </w:rPr>
        <w:t>3.</w:t>
      </w:r>
      <w:r>
        <w:rPr>
          <w:color w:val="000000"/>
          <w:sz w:val="24"/>
          <w:szCs w:val="24"/>
        </w:rPr>
        <w:t>技能目标</w:t>
      </w:r>
      <w:bookmarkEnd w:id="11"/>
    </w:p>
    <w:p w14:paraId="5C0A8FB0">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具备规范的语言文字表达、</w:t>
      </w:r>
      <w:r>
        <w:rPr>
          <w:color w:val="000000"/>
          <w:sz w:val="24"/>
          <w:szCs w:val="24"/>
          <w:highlight w:val="yellow"/>
        </w:rPr>
        <w:t>人际沟通、团队协作与问题解决能力</w:t>
      </w:r>
      <w:r>
        <w:rPr>
          <w:color w:val="000000"/>
          <w:sz w:val="24"/>
          <w:szCs w:val="24"/>
        </w:rPr>
        <w:t>。</w:t>
      </w:r>
    </w:p>
    <w:p w14:paraId="455672D7">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highlight w:val="yellow"/>
        </w:rPr>
      </w:pPr>
      <w:r>
        <w:rPr>
          <w:color w:val="000000"/>
          <w:sz w:val="24"/>
          <w:szCs w:val="24"/>
          <w:highlight w:val="yellow"/>
        </w:rPr>
        <w:t>熟练操作计算机与常用办公软件，掌握行业数字化工具基础应用，适配岗位数字化需求。</w:t>
      </w:r>
    </w:p>
    <w:p w14:paraId="610E1FC8">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能运用英语进行专业术语阅读、基础交流与文件解读。</w:t>
      </w:r>
    </w:p>
    <w:p w14:paraId="4020202B">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能科学选择与鉴别食品原辅料，规范完成原料预处理、清洗、切割、护色等操作。</w:t>
      </w:r>
    </w:p>
    <w:p w14:paraId="5B43BE49">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熟练操作烘焙、饮料、肉制品、乳制品等典型食品生产设备，完成智能加工、配料、杀菌、包装等工序。</w:t>
      </w:r>
    </w:p>
    <w:p w14:paraId="7097E8EC">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掌握食品理化、微生物、感官检验检测技能，规范使用检测仪器，准确记录与分析数据。</w:t>
      </w:r>
    </w:p>
    <w:p w14:paraId="5C89EAF0">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熟练运用食品贮运与保鲜技术，保障食品在仓储、运输、销售环节品质稳定。</w:t>
      </w:r>
    </w:p>
    <w:p w14:paraId="04602663">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具备食品生产过程质量巡检、半成品与成品检验、不合格品处置能力</w:t>
      </w:r>
    </w:p>
    <w:p w14:paraId="03DABAFD">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能辅助实施食品生产许可、HACCP、ISO9001、绿色工厂、清洁生产等体系，参与申报与内审工作。</w:t>
      </w:r>
    </w:p>
    <w:p w14:paraId="3BE1045F">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掌握食品安全生产规范，能识别生产安全风险，落实防护措施，处置常见安全事故。</w:t>
      </w:r>
    </w:p>
    <w:p w14:paraId="0B0D9B70">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具备食品生产现场基础管理、班组协调、工艺执行与记录归档能力。</w:t>
      </w:r>
    </w:p>
    <w:p w14:paraId="198DED12">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rPr>
      </w:pPr>
      <w:r>
        <w:rPr>
          <w:color w:val="000000"/>
          <w:sz w:val="24"/>
          <w:szCs w:val="24"/>
        </w:rPr>
        <w:t>能分析并解决食品加工常见技术问题，具备工艺优化与创新初步意识。</w:t>
      </w:r>
    </w:p>
    <w:p w14:paraId="2A640205">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color w:val="000000"/>
          <w:sz w:val="24"/>
          <w:szCs w:val="24"/>
          <w:highlight w:val="yellow"/>
        </w:rPr>
      </w:pPr>
      <w:r>
        <w:rPr>
          <w:color w:val="000000"/>
          <w:sz w:val="24"/>
          <w:szCs w:val="24"/>
        </w:rPr>
        <w:t>具备</w:t>
      </w:r>
      <w:r>
        <w:rPr>
          <w:color w:val="000000"/>
          <w:sz w:val="24"/>
          <w:szCs w:val="24"/>
          <w:highlight w:val="yellow"/>
        </w:rPr>
        <w:t>自主学习、信息检索、职业适应与可持续发展能力，能适应行业技术迭代与岗位变迁。</w:t>
      </w:r>
    </w:p>
    <w:p w14:paraId="30014218">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25" w:leftChars="0" w:right="0" w:rightChars="0" w:hanging="425" w:firstLineChars="0"/>
        <w:jc w:val="left"/>
        <w:textAlignment w:val="auto"/>
        <w:rPr>
          <w:rFonts w:hint="eastAsia"/>
          <w:sz w:val="24"/>
        </w:rPr>
      </w:pPr>
      <w:r>
        <w:rPr>
          <w:color w:val="000000"/>
          <w:sz w:val="24"/>
          <w:szCs w:val="24"/>
        </w:rPr>
        <w:t>熟练掌握 1 项体育运动技能与 1 项艺术特长，保持身心健康与全面发展。</w:t>
      </w:r>
    </w:p>
    <w:p w14:paraId="746FDFFF">
      <w:pPr>
        <w:pStyle w:val="2"/>
        <w:bidi w:val="0"/>
        <w:rPr>
          <w:rFonts w:hint="eastAsia" w:ascii="黑体" w:hAnsi="黑体" w:eastAsia="黑体" w:cs="黑体"/>
          <w:b w:val="0"/>
          <w:bCs/>
          <w:sz w:val="28"/>
          <w:szCs w:val="28"/>
        </w:rPr>
      </w:pPr>
      <w:bookmarkStart w:id="12" w:name="_Toc18879006"/>
      <w:r>
        <w:rPr>
          <w:rFonts w:hint="eastAsia" w:ascii="黑体" w:hAnsi="黑体" w:eastAsia="黑体" w:cs="黑体"/>
          <w:b w:val="0"/>
          <w:bCs/>
          <w:sz w:val="28"/>
          <w:szCs w:val="28"/>
          <w:lang w:val="en-US" w:eastAsia="zh-CN"/>
        </w:rPr>
        <w:t>六、</w:t>
      </w:r>
      <w:r>
        <w:rPr>
          <w:rFonts w:hint="eastAsia" w:ascii="黑体" w:hAnsi="黑体" w:eastAsia="黑体" w:cs="黑体"/>
          <w:b w:val="0"/>
          <w:bCs/>
          <w:sz w:val="28"/>
          <w:szCs w:val="28"/>
        </w:rPr>
        <w:t>课程设置及要求</w:t>
      </w:r>
      <w:bookmarkEnd w:id="12"/>
    </w:p>
    <w:p w14:paraId="327E31F2">
      <w:pPr>
        <w:pStyle w:val="3"/>
        <w:bidi w:val="0"/>
        <w:rPr>
          <w:rFonts w:hint="eastAsia"/>
          <w:sz w:val="24"/>
          <w:szCs w:val="24"/>
          <w:lang w:val="zh-CN"/>
        </w:rPr>
      </w:pPr>
      <w:bookmarkStart w:id="13" w:name="_Toc15384"/>
      <w:bookmarkStart w:id="14" w:name="_Toc26818"/>
      <w:bookmarkStart w:id="15" w:name="_Toc113290233"/>
      <w:bookmarkStart w:id="16" w:name="_Toc1619357733"/>
      <w:r>
        <w:rPr>
          <w:rFonts w:hint="eastAsia"/>
          <w:sz w:val="24"/>
          <w:szCs w:val="24"/>
          <w:lang w:val="zh-CN" w:eastAsia="zh-CN"/>
        </w:rPr>
        <w:t>（一）职业能力分析</w:t>
      </w:r>
      <w:bookmarkEnd w:id="13"/>
      <w:bookmarkEnd w:id="14"/>
      <w:bookmarkEnd w:id="15"/>
      <w:bookmarkEnd w:id="16"/>
      <w:r>
        <w:rPr>
          <w:rFonts w:hint="eastAsia"/>
          <w:sz w:val="24"/>
          <w:szCs w:val="24"/>
          <w:lang w:val="zh-CN"/>
        </w:rPr>
        <w:t xml:space="preserve"> </w:t>
      </w:r>
    </w:p>
    <w:p w14:paraId="2AEA15C0">
      <w:pPr>
        <w:keepNext w:val="0"/>
        <w:keepLines w:val="0"/>
        <w:pageBreakBefore w:val="0"/>
        <w:wordWrap/>
        <w:overflowPunct/>
        <w:topLinePunct w:val="0"/>
        <w:bidi w:val="0"/>
        <w:spacing w:line="440" w:lineRule="exact"/>
        <w:jc w:val="center"/>
        <w:rPr>
          <w:rFonts w:hint="eastAsia" w:ascii="宋体" w:hAnsi="宋体" w:eastAsia="宋体" w:cs="宋体"/>
          <w:b/>
          <w:bCs/>
          <w:lang w:val="zh-CN"/>
        </w:rPr>
      </w:pPr>
      <w:r>
        <w:rPr>
          <w:rFonts w:hint="eastAsia"/>
        </w:rPr>
        <w:t>表</w:t>
      </w:r>
      <w:r>
        <w:rPr>
          <w:rFonts w:hint="eastAsia"/>
          <w:lang w:val="en-US" w:eastAsia="zh-CN"/>
        </w:rPr>
        <w:t>2</w:t>
      </w:r>
      <w:r>
        <w:rPr>
          <w:rFonts w:hint="eastAsia"/>
        </w:rPr>
        <w:t>：</w:t>
      </w:r>
      <w:r>
        <w:rPr>
          <w:rFonts w:hint="eastAsia"/>
          <w:lang w:val="en-US" w:eastAsia="zh-CN"/>
        </w:rPr>
        <w:t>食品加工工艺</w:t>
      </w:r>
      <w:r>
        <w:rPr>
          <w:rFonts w:hint="eastAsia"/>
        </w:rPr>
        <w:t>专业</w:t>
      </w:r>
      <w:r>
        <w:rPr>
          <w:rFonts w:hint="eastAsia"/>
          <w:lang w:val="en-US" w:eastAsia="zh-CN"/>
        </w:rPr>
        <w:t>对应</w:t>
      </w:r>
      <w:r>
        <w:rPr>
          <w:rFonts w:hint="eastAsia"/>
        </w:rPr>
        <w:t>职业及等级证书</w:t>
      </w:r>
    </w:p>
    <w:tbl>
      <w:tblPr>
        <w:tblStyle w:val="15"/>
        <w:tblW w:w="94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13" w:type="dxa"/>
          <w:left w:w="113" w:type="dxa"/>
          <w:bottom w:w="113" w:type="dxa"/>
          <w:right w:w="113" w:type="dxa"/>
        </w:tblCellMar>
      </w:tblPr>
      <w:tblGrid>
        <w:gridCol w:w="1487"/>
        <w:gridCol w:w="1473"/>
        <w:gridCol w:w="5127"/>
        <w:gridCol w:w="1329"/>
      </w:tblGrid>
      <w:tr w14:paraId="64C9B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400" w:hRule="atLeast"/>
          <w:jc w:val="center"/>
        </w:trPr>
        <w:tc>
          <w:tcPr>
            <w:tcW w:w="1487" w:type="dxa"/>
            <w:noWrap w:val="0"/>
            <w:vAlign w:val="center"/>
          </w:tcPr>
          <w:p w14:paraId="6981CF7F">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center"/>
              <w:textAlignment w:val="auto"/>
              <w:rPr>
                <w:rFonts w:hint="eastAsia" w:ascii="宋体" w:hAnsi="宋体" w:eastAsia="宋体" w:cs="宋体"/>
                <w:b/>
                <w:bCs/>
                <w:kern w:val="0"/>
                <w:sz w:val="20"/>
                <w:szCs w:val="20"/>
                <w:lang w:val="zh-CN"/>
              </w:rPr>
            </w:pPr>
            <w:r>
              <w:rPr>
                <w:rFonts w:hint="eastAsia" w:ascii="宋体" w:hAnsi="宋体" w:eastAsia="宋体" w:cs="宋体"/>
                <w:b/>
                <w:bCs/>
                <w:kern w:val="0"/>
                <w:sz w:val="20"/>
                <w:szCs w:val="20"/>
                <w:lang w:val="zh-CN"/>
              </w:rPr>
              <w:t>工作岗位</w:t>
            </w:r>
          </w:p>
        </w:tc>
        <w:tc>
          <w:tcPr>
            <w:tcW w:w="1473" w:type="dxa"/>
            <w:noWrap w:val="0"/>
            <w:vAlign w:val="center"/>
          </w:tcPr>
          <w:p w14:paraId="4646B8E7">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center"/>
              <w:textAlignment w:val="auto"/>
              <w:rPr>
                <w:rFonts w:hint="eastAsia" w:ascii="宋体" w:hAnsi="宋体" w:eastAsia="宋体" w:cs="宋体"/>
                <w:b/>
                <w:bCs/>
                <w:kern w:val="0"/>
                <w:sz w:val="20"/>
                <w:szCs w:val="20"/>
                <w:lang w:val="zh-CN"/>
              </w:rPr>
            </w:pPr>
            <w:r>
              <w:rPr>
                <w:rFonts w:hint="eastAsia" w:ascii="宋体" w:hAnsi="宋体" w:eastAsia="宋体" w:cs="宋体"/>
                <w:b/>
                <w:bCs/>
                <w:kern w:val="0"/>
                <w:sz w:val="20"/>
                <w:szCs w:val="20"/>
                <w:lang w:val="zh-CN"/>
              </w:rPr>
              <w:t>典型工作任务</w:t>
            </w:r>
          </w:p>
        </w:tc>
        <w:tc>
          <w:tcPr>
            <w:tcW w:w="5127" w:type="dxa"/>
            <w:noWrap w:val="0"/>
            <w:vAlign w:val="center"/>
          </w:tcPr>
          <w:p w14:paraId="2DE5557A">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center"/>
              <w:textAlignment w:val="auto"/>
              <w:rPr>
                <w:rFonts w:hint="eastAsia" w:ascii="宋体" w:hAnsi="宋体" w:eastAsia="宋体" w:cs="宋体"/>
                <w:b/>
                <w:bCs/>
                <w:kern w:val="0"/>
                <w:sz w:val="20"/>
                <w:szCs w:val="20"/>
                <w:lang w:val="zh-CN"/>
              </w:rPr>
            </w:pPr>
            <w:r>
              <w:rPr>
                <w:rFonts w:hint="eastAsia" w:ascii="宋体" w:hAnsi="宋体" w:eastAsia="宋体" w:cs="宋体"/>
                <w:b/>
                <w:bCs/>
                <w:kern w:val="0"/>
                <w:sz w:val="20"/>
                <w:szCs w:val="20"/>
                <w:lang w:val="zh-CN"/>
              </w:rPr>
              <w:t>职业能力</w:t>
            </w:r>
          </w:p>
        </w:tc>
        <w:tc>
          <w:tcPr>
            <w:tcW w:w="1329" w:type="dxa"/>
            <w:noWrap w:val="0"/>
            <w:vAlign w:val="center"/>
          </w:tcPr>
          <w:p w14:paraId="60427D8C">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center"/>
              <w:textAlignment w:val="auto"/>
              <w:rPr>
                <w:rFonts w:hint="eastAsia" w:ascii="宋体" w:hAnsi="宋体" w:eastAsia="宋体" w:cs="宋体"/>
                <w:b/>
                <w:bCs/>
                <w:kern w:val="0"/>
                <w:sz w:val="20"/>
                <w:szCs w:val="20"/>
                <w:lang w:val="zh-CN"/>
              </w:rPr>
            </w:pPr>
            <w:r>
              <w:rPr>
                <w:rFonts w:hint="eastAsia" w:ascii="宋体" w:hAnsi="宋体" w:eastAsia="宋体" w:cs="宋体"/>
                <w:b/>
                <w:bCs/>
                <w:kern w:val="0"/>
                <w:sz w:val="20"/>
                <w:szCs w:val="20"/>
                <w:lang w:val="zh-CN"/>
              </w:rPr>
              <w:t>对应课程</w:t>
            </w:r>
          </w:p>
        </w:tc>
      </w:tr>
      <w:tr w14:paraId="78A41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23" w:hRule="atLeast"/>
          <w:jc w:val="center"/>
        </w:trPr>
        <w:tc>
          <w:tcPr>
            <w:tcW w:w="1487" w:type="dxa"/>
            <w:noWrap w:val="0"/>
            <w:vAlign w:val="center"/>
          </w:tcPr>
          <w:p w14:paraId="1D3CC20F">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zh-CN"/>
              </w:rPr>
              <w:t>1.</w:t>
            </w:r>
            <w:r>
              <w:rPr>
                <w:rFonts w:hint="eastAsia" w:ascii="宋体" w:hAnsi="宋体" w:eastAsia="宋体" w:cs="宋体"/>
                <w:kern w:val="0"/>
                <w:sz w:val="18"/>
                <w:szCs w:val="18"/>
                <w:lang w:val="en-US" w:eastAsia="zh-CN"/>
              </w:rPr>
              <w:t>食品加工生产</w:t>
            </w:r>
          </w:p>
        </w:tc>
        <w:tc>
          <w:tcPr>
            <w:tcW w:w="1473" w:type="dxa"/>
            <w:noWrap w:val="0"/>
            <w:vAlign w:val="center"/>
          </w:tcPr>
          <w:p w14:paraId="17E8801F">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center"/>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食品的生产与加工</w:t>
            </w:r>
          </w:p>
        </w:tc>
        <w:tc>
          <w:tcPr>
            <w:tcW w:w="5127" w:type="dxa"/>
            <w:noWrap w:val="0"/>
            <w:vAlign w:val="center"/>
          </w:tcPr>
          <w:p w14:paraId="0282E24E">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zh-CN"/>
              </w:rPr>
            </w:pPr>
            <w:r>
              <w:rPr>
                <w:rFonts w:hint="eastAsia" w:ascii="宋体" w:hAnsi="宋体" w:eastAsia="宋体" w:cs="宋体"/>
                <w:kern w:val="0"/>
                <w:sz w:val="18"/>
                <w:szCs w:val="18"/>
                <w:lang w:val="en-US" w:eastAsia="zh-CN"/>
              </w:rPr>
              <w:t>1.</w:t>
            </w:r>
            <w:r>
              <w:rPr>
                <w:rFonts w:hint="eastAsia" w:ascii="宋体" w:hAnsi="宋体" w:eastAsia="宋体" w:cs="宋体"/>
                <w:kern w:val="0"/>
                <w:sz w:val="18"/>
                <w:szCs w:val="18"/>
                <w:lang w:val="zh-CN"/>
              </w:rPr>
              <w:t>食品加工原辅料、食品添加剂、食品包装材料的识别能力；</w:t>
            </w:r>
          </w:p>
          <w:p w14:paraId="18C0EAFF">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zh-CN"/>
              </w:rPr>
            </w:pPr>
            <w:r>
              <w:rPr>
                <w:rFonts w:hint="eastAsia" w:ascii="宋体" w:hAnsi="宋体" w:eastAsia="宋体" w:cs="宋体"/>
                <w:kern w:val="0"/>
                <w:sz w:val="18"/>
                <w:szCs w:val="18"/>
                <w:lang w:val="zh-CN"/>
              </w:rPr>
              <w:t>2.食品加工工艺技术指导能力；生产工艺过程进行管理的能力。</w:t>
            </w:r>
          </w:p>
        </w:tc>
        <w:tc>
          <w:tcPr>
            <w:tcW w:w="1329" w:type="dxa"/>
            <w:vMerge w:val="restart"/>
            <w:tcBorders>
              <w:right w:val="single" w:color="auto" w:sz="4" w:space="0"/>
            </w:tcBorders>
            <w:noWrap w:val="0"/>
            <w:vAlign w:val="center"/>
          </w:tcPr>
          <w:p w14:paraId="086F2437">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Hans"/>
              </w:rPr>
              <w:t>食品加工工艺基础</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食品加工技术、</w:t>
            </w:r>
            <w:r>
              <w:rPr>
                <w:rFonts w:hint="eastAsia" w:ascii="宋体" w:hAnsi="宋体" w:eastAsia="宋体" w:cs="宋体"/>
                <w:sz w:val="18"/>
                <w:szCs w:val="18"/>
                <w:lang w:eastAsia="zh-CN"/>
              </w:rPr>
              <w:t>食品微生物检验、食品理化分析与检验、</w:t>
            </w:r>
            <w:r>
              <w:rPr>
                <w:rFonts w:hint="eastAsia" w:ascii="宋体" w:hAnsi="宋体" w:eastAsia="宋体" w:cs="宋体"/>
                <w:b w:val="0"/>
                <w:bCs w:val="0"/>
                <w:i w:val="0"/>
                <w:color w:val="000000"/>
                <w:spacing w:val="0"/>
                <w:w w:val="100"/>
                <w:kern w:val="0"/>
                <w:position w:val="0"/>
                <w:sz w:val="18"/>
                <w:szCs w:val="18"/>
                <w:vertAlign w:val="baseline"/>
                <w:lang w:val="en-US" w:eastAsia="zh-CN"/>
              </w:rPr>
              <w:t>食品营养与健康、食品原料基础</w:t>
            </w:r>
          </w:p>
        </w:tc>
      </w:tr>
      <w:tr w14:paraId="794C3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23" w:hRule="atLeast"/>
          <w:jc w:val="center"/>
        </w:trPr>
        <w:tc>
          <w:tcPr>
            <w:tcW w:w="1487" w:type="dxa"/>
            <w:noWrap w:val="0"/>
            <w:vAlign w:val="center"/>
          </w:tcPr>
          <w:p w14:paraId="5CC31CC1">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zh-CN"/>
              </w:rPr>
              <w:t>2.</w:t>
            </w:r>
            <w:r>
              <w:rPr>
                <w:rFonts w:hint="eastAsia" w:ascii="宋体" w:hAnsi="宋体" w:eastAsia="宋体" w:cs="宋体"/>
                <w:kern w:val="0"/>
                <w:sz w:val="18"/>
                <w:szCs w:val="18"/>
                <w:lang w:val="en-US" w:eastAsia="zh-CN"/>
              </w:rPr>
              <w:t>食品检验</w:t>
            </w:r>
          </w:p>
        </w:tc>
        <w:tc>
          <w:tcPr>
            <w:tcW w:w="1473" w:type="dxa"/>
            <w:noWrap w:val="0"/>
            <w:vAlign w:val="center"/>
          </w:tcPr>
          <w:p w14:paraId="460E6344">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center"/>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zh-CN"/>
              </w:rPr>
              <w:t>食品感官、理化、</w:t>
            </w:r>
            <w:r>
              <w:rPr>
                <w:rFonts w:hint="eastAsia" w:ascii="宋体" w:hAnsi="宋体" w:eastAsia="宋体" w:cs="宋体"/>
                <w:kern w:val="0"/>
                <w:sz w:val="18"/>
                <w:szCs w:val="18"/>
                <w:lang w:val="en-US" w:eastAsia="zh-CN"/>
              </w:rPr>
              <w:t>微生物等方面的检测</w:t>
            </w:r>
          </w:p>
        </w:tc>
        <w:tc>
          <w:tcPr>
            <w:tcW w:w="5127" w:type="dxa"/>
            <w:tcBorders>
              <w:bottom w:val="single" w:color="auto" w:sz="4" w:space="0"/>
            </w:tcBorders>
            <w:noWrap w:val="0"/>
            <w:vAlign w:val="center"/>
          </w:tcPr>
          <w:p w14:paraId="616607ED">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zh-CN"/>
              </w:rPr>
            </w:pPr>
            <w:r>
              <w:rPr>
                <w:rFonts w:hint="eastAsia" w:ascii="宋体" w:hAnsi="宋体" w:eastAsia="宋体" w:cs="宋体"/>
                <w:kern w:val="0"/>
                <w:sz w:val="18"/>
                <w:szCs w:val="18"/>
                <w:lang w:val="zh-CN"/>
              </w:rPr>
              <w:t>1.食品感官质量评定能力；</w:t>
            </w:r>
          </w:p>
          <w:p w14:paraId="73449FE3">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zh-CN"/>
              </w:rPr>
            </w:pPr>
            <w:r>
              <w:rPr>
                <w:rFonts w:hint="eastAsia" w:ascii="宋体" w:hAnsi="宋体" w:eastAsia="宋体" w:cs="宋体"/>
                <w:kern w:val="0"/>
                <w:sz w:val="18"/>
                <w:szCs w:val="18"/>
                <w:lang w:val="en-US" w:eastAsia="zh-CN"/>
              </w:rPr>
              <w:t>2.</w:t>
            </w:r>
            <w:r>
              <w:rPr>
                <w:rFonts w:hint="eastAsia" w:ascii="宋体" w:hAnsi="宋体" w:eastAsia="宋体" w:cs="宋体"/>
                <w:kern w:val="0"/>
                <w:sz w:val="18"/>
                <w:szCs w:val="18"/>
                <w:lang w:val="zh-CN"/>
              </w:rPr>
              <w:t>食品化学分析能力；</w:t>
            </w:r>
          </w:p>
          <w:p w14:paraId="17DB1BDA">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zh-CN"/>
              </w:rPr>
            </w:pPr>
            <w:r>
              <w:rPr>
                <w:rFonts w:hint="eastAsia" w:ascii="宋体" w:hAnsi="宋体" w:eastAsia="宋体" w:cs="宋体"/>
                <w:kern w:val="0"/>
                <w:sz w:val="18"/>
                <w:szCs w:val="18"/>
                <w:lang w:val="zh-CN"/>
              </w:rPr>
              <w:t>3.食品微生物检验能力。</w:t>
            </w:r>
          </w:p>
        </w:tc>
        <w:tc>
          <w:tcPr>
            <w:tcW w:w="1329" w:type="dxa"/>
            <w:vMerge w:val="continue"/>
            <w:tcBorders>
              <w:right w:val="single" w:color="auto" w:sz="4" w:space="0"/>
            </w:tcBorders>
            <w:noWrap w:val="0"/>
            <w:vAlign w:val="center"/>
          </w:tcPr>
          <w:p w14:paraId="2C316CBA">
            <w:pPr>
              <w:keepNext w:val="0"/>
              <w:keepLines w:val="0"/>
              <w:pageBreakBefore w:val="0"/>
              <w:widowControl w:val="0"/>
              <w:kinsoku/>
              <w:wordWrap/>
              <w:overflowPunct/>
              <w:topLinePunct w:val="0"/>
              <w:bidi w:val="0"/>
              <w:spacing w:line="440" w:lineRule="exact"/>
              <w:ind w:left="0" w:leftChars="0" w:right="0" w:rightChars="0"/>
              <w:textAlignment w:val="auto"/>
              <w:rPr>
                <w:rFonts w:hint="eastAsia" w:ascii="宋体" w:hAnsi="宋体" w:eastAsia="宋体" w:cs="宋体"/>
                <w:sz w:val="18"/>
                <w:szCs w:val="18"/>
              </w:rPr>
            </w:pPr>
          </w:p>
        </w:tc>
      </w:tr>
      <w:tr w14:paraId="52E38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23" w:hRule="atLeast"/>
          <w:jc w:val="center"/>
        </w:trPr>
        <w:tc>
          <w:tcPr>
            <w:tcW w:w="1487" w:type="dxa"/>
            <w:noWrap w:val="0"/>
            <w:vAlign w:val="center"/>
          </w:tcPr>
          <w:p w14:paraId="31679945">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zh-CN" w:eastAsia="zh-CN"/>
              </w:rPr>
            </w:pPr>
            <w:r>
              <w:rPr>
                <w:rFonts w:hint="eastAsia" w:ascii="宋体" w:hAnsi="宋体" w:eastAsia="宋体" w:cs="宋体"/>
                <w:kern w:val="0"/>
                <w:sz w:val="18"/>
                <w:szCs w:val="18"/>
                <w:lang w:val="zh-CN"/>
              </w:rPr>
              <w:t>3.</w:t>
            </w:r>
            <w:r>
              <w:rPr>
                <w:rFonts w:hint="eastAsia" w:ascii="宋体" w:hAnsi="宋体" w:eastAsia="宋体" w:cs="宋体"/>
                <w:kern w:val="0"/>
                <w:sz w:val="18"/>
                <w:szCs w:val="18"/>
                <w:lang w:val="en-US" w:eastAsia="zh-CN"/>
              </w:rPr>
              <w:t>营养师</w:t>
            </w:r>
          </w:p>
        </w:tc>
        <w:tc>
          <w:tcPr>
            <w:tcW w:w="1473" w:type="dxa"/>
            <w:tcBorders>
              <w:right w:val="single" w:color="auto" w:sz="4" w:space="0"/>
            </w:tcBorders>
            <w:noWrap w:val="0"/>
            <w:vAlign w:val="center"/>
          </w:tcPr>
          <w:p w14:paraId="0702D665">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center"/>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制定食谱</w:t>
            </w:r>
          </w:p>
          <w:p w14:paraId="485CEB2A">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center"/>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指导膳食</w:t>
            </w:r>
          </w:p>
        </w:tc>
        <w:tc>
          <w:tcPr>
            <w:tcW w:w="5127" w:type="dxa"/>
            <w:tcBorders>
              <w:top w:val="single" w:color="auto" w:sz="4" w:space="0"/>
              <w:left w:val="single" w:color="auto" w:sz="4" w:space="0"/>
              <w:bottom w:val="single" w:color="auto" w:sz="4" w:space="0"/>
              <w:right w:val="single" w:color="auto" w:sz="4" w:space="0"/>
            </w:tcBorders>
            <w:noWrap w:val="0"/>
            <w:vAlign w:val="center"/>
          </w:tcPr>
          <w:p w14:paraId="41FA1605">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zh-CN"/>
              </w:rPr>
            </w:pPr>
            <w:r>
              <w:rPr>
                <w:rFonts w:hint="eastAsia" w:ascii="宋体" w:hAnsi="宋体" w:eastAsia="宋体" w:cs="宋体"/>
                <w:kern w:val="0"/>
                <w:sz w:val="18"/>
                <w:szCs w:val="18"/>
                <w:lang w:val="zh-CN"/>
              </w:rPr>
              <w:t>1.能合理设计食谱；</w:t>
            </w:r>
          </w:p>
          <w:p w14:paraId="3AB738D4">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jc w:val="left"/>
              <w:textAlignment w:val="auto"/>
              <w:rPr>
                <w:rFonts w:hint="eastAsia" w:ascii="宋体" w:hAnsi="宋体" w:eastAsia="宋体" w:cs="宋体"/>
                <w:kern w:val="0"/>
                <w:sz w:val="18"/>
                <w:szCs w:val="18"/>
                <w:lang w:val="zh-CN"/>
              </w:rPr>
            </w:pPr>
            <w:r>
              <w:rPr>
                <w:rFonts w:hint="eastAsia" w:ascii="宋体" w:hAnsi="宋体" w:eastAsia="宋体" w:cs="宋体"/>
                <w:kern w:val="0"/>
                <w:sz w:val="18"/>
                <w:szCs w:val="18"/>
                <w:lang w:val="zh-CN"/>
              </w:rPr>
              <w:t>2.能为特定人群指导膳食。</w:t>
            </w:r>
          </w:p>
        </w:tc>
        <w:tc>
          <w:tcPr>
            <w:tcW w:w="1329" w:type="dxa"/>
            <w:vMerge w:val="continue"/>
            <w:tcBorders>
              <w:right w:val="single" w:color="auto" w:sz="4" w:space="0"/>
            </w:tcBorders>
            <w:noWrap w:val="0"/>
            <w:vAlign w:val="center"/>
          </w:tcPr>
          <w:p w14:paraId="1747BA5B">
            <w:pPr>
              <w:keepNext w:val="0"/>
              <w:keepLines w:val="0"/>
              <w:pageBreakBefore w:val="0"/>
              <w:widowControl w:val="0"/>
              <w:kinsoku/>
              <w:wordWrap/>
              <w:overflowPunct/>
              <w:topLinePunct w:val="0"/>
              <w:bidi w:val="0"/>
              <w:spacing w:line="440" w:lineRule="exact"/>
              <w:ind w:left="0" w:leftChars="0" w:right="0" w:rightChars="0"/>
              <w:textAlignment w:val="auto"/>
              <w:rPr>
                <w:rFonts w:hint="eastAsia" w:ascii="宋体" w:hAnsi="宋体" w:eastAsia="宋体" w:cs="宋体"/>
                <w:sz w:val="18"/>
                <w:szCs w:val="18"/>
              </w:rPr>
            </w:pPr>
          </w:p>
        </w:tc>
      </w:tr>
    </w:tbl>
    <w:p w14:paraId="6656F864">
      <w:pPr>
        <w:pStyle w:val="3"/>
        <w:bidi w:val="0"/>
        <w:rPr>
          <w:rFonts w:hint="eastAsia"/>
          <w:sz w:val="24"/>
          <w:szCs w:val="24"/>
          <w:lang w:val="zh-CN"/>
        </w:rPr>
      </w:pPr>
      <w:bookmarkStart w:id="17" w:name="_Toc18013"/>
      <w:bookmarkStart w:id="18" w:name="_Toc521"/>
      <w:bookmarkStart w:id="19" w:name="_Toc113290234"/>
      <w:bookmarkStart w:id="20" w:name="_Toc1485160100"/>
      <w:r>
        <w:rPr>
          <w:rFonts w:hint="eastAsia"/>
          <w:sz w:val="24"/>
          <w:szCs w:val="24"/>
          <w:lang w:val="zh-CN"/>
        </w:rPr>
        <w:t>（</w:t>
      </w:r>
      <w:r>
        <w:rPr>
          <w:rFonts w:hint="eastAsia"/>
          <w:sz w:val="24"/>
          <w:szCs w:val="24"/>
          <w:lang w:val="en-US" w:eastAsia="zh-CN"/>
        </w:rPr>
        <w:t>二）</w:t>
      </w:r>
      <w:r>
        <w:rPr>
          <w:rFonts w:hint="eastAsia"/>
          <w:sz w:val="24"/>
          <w:szCs w:val="24"/>
          <w:lang w:val="zh-CN"/>
        </w:rPr>
        <w:t>课程设置</w:t>
      </w:r>
      <w:bookmarkEnd w:id="17"/>
      <w:bookmarkEnd w:id="18"/>
      <w:bookmarkEnd w:id="19"/>
      <w:bookmarkEnd w:id="20"/>
    </w:p>
    <w:p w14:paraId="70EBCDA7">
      <w:pPr>
        <w:keepNext w:val="0"/>
        <w:keepLines w:val="0"/>
        <w:pageBreakBefore w:val="0"/>
        <w:wordWrap/>
        <w:overflowPunct/>
        <w:topLinePunct w:val="0"/>
        <w:bidi w:val="0"/>
        <w:spacing w:line="440" w:lineRule="exact"/>
        <w:ind w:firstLine="480" w:firstLineChars="200"/>
        <w:jc w:val="left"/>
        <w:rPr>
          <w:rFonts w:hint="eastAsia" w:ascii="宋体" w:hAnsi="宋体" w:eastAsia="宋体" w:cs="宋体"/>
          <w:b w:val="0"/>
          <w:bCs w:val="0"/>
          <w:i w:val="0"/>
          <w:color w:val="000000"/>
          <w:spacing w:val="0"/>
          <w:w w:val="100"/>
          <w:kern w:val="0"/>
          <w:position w:val="0"/>
          <w:sz w:val="24"/>
          <w:szCs w:val="24"/>
          <w:vertAlign w:val="baseline"/>
          <w:lang w:val="zh-CN" w:eastAsia="zh-CN"/>
        </w:rPr>
      </w:pPr>
      <w:r>
        <w:rPr>
          <w:rFonts w:hint="eastAsia" w:ascii="宋体" w:hAnsi="宋体" w:eastAsia="宋体" w:cs="宋体"/>
          <w:b w:val="0"/>
          <w:bCs w:val="0"/>
          <w:i w:val="0"/>
          <w:color w:val="000000"/>
          <w:spacing w:val="0"/>
          <w:w w:val="100"/>
          <w:kern w:val="0"/>
          <w:position w:val="0"/>
          <w:sz w:val="24"/>
          <w:szCs w:val="24"/>
          <w:vertAlign w:val="baseline"/>
          <w:lang w:val="zh-CN" w:eastAsia="zh-CN"/>
        </w:rPr>
        <w:t>本专业的课程设置分为公共基础课程和专业技能课程。公共基础课设置必修课和选修课。专业技能课包括专业基础课、专业核心课、专业拓展课和实训实习课，实习实训是专业技能课教学的重要内容，含校内外实训、岗位实习等多种形式。</w:t>
      </w:r>
    </w:p>
    <w:p w14:paraId="2715B3FF">
      <w:pPr>
        <w:keepNext w:val="0"/>
        <w:keepLines w:val="0"/>
        <w:pageBreakBefore w:val="0"/>
        <w:wordWrap/>
        <w:overflowPunct/>
        <w:topLinePunct w:val="0"/>
        <w:bidi w:val="0"/>
        <w:spacing w:line="440" w:lineRule="exact"/>
        <w:ind w:firstLine="480" w:firstLineChars="200"/>
        <w:jc w:val="left"/>
        <w:rPr>
          <w:rFonts w:hint="eastAsia" w:ascii="宋体" w:hAnsi="宋体" w:eastAsia="宋体" w:cs="宋体"/>
          <w:b w:val="0"/>
          <w:bCs w:val="0"/>
          <w:i w:val="0"/>
          <w:color w:val="000000"/>
          <w:spacing w:val="0"/>
          <w:w w:val="100"/>
          <w:kern w:val="0"/>
          <w:position w:val="0"/>
          <w:sz w:val="24"/>
          <w:szCs w:val="24"/>
          <w:vertAlign w:val="baseline"/>
          <w:lang w:val="zh-CN" w:eastAsia="zh-CN"/>
        </w:rPr>
      </w:pPr>
      <w:r>
        <w:rPr>
          <w:rFonts w:hint="eastAsia" w:ascii="宋体" w:hAnsi="宋体" w:eastAsia="宋体" w:cs="宋体"/>
          <w:b w:val="0"/>
          <w:bCs w:val="0"/>
          <w:i w:val="0"/>
          <w:color w:val="000000"/>
          <w:spacing w:val="0"/>
          <w:w w:val="100"/>
          <w:kern w:val="0"/>
          <w:position w:val="0"/>
          <w:sz w:val="24"/>
          <w:szCs w:val="24"/>
          <w:vertAlign w:val="baseline"/>
          <w:lang w:val="zh-CN" w:eastAsia="zh-CN"/>
        </w:rPr>
        <w:drawing>
          <wp:anchor distT="0" distB="0" distL="114300" distR="114300" simplePos="0" relativeHeight="251659264" behindDoc="0" locked="0" layoutInCell="1" allowOverlap="1">
            <wp:simplePos x="0" y="0"/>
            <wp:positionH relativeFrom="column">
              <wp:posOffset>461645</wp:posOffset>
            </wp:positionH>
            <wp:positionV relativeFrom="paragraph">
              <wp:posOffset>206375</wp:posOffset>
            </wp:positionV>
            <wp:extent cx="5230495" cy="2942590"/>
            <wp:effectExtent l="0" t="0" r="1905" b="3810"/>
            <wp:wrapTopAndBottom/>
            <wp:docPr id="2" name="图片 2" descr="未命名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_副本"/>
                    <pic:cNvPicPr>
                      <a:picLocks noChangeAspect="1"/>
                    </pic:cNvPicPr>
                  </pic:nvPicPr>
                  <pic:blipFill>
                    <a:blip r:embed="rId9"/>
                    <a:stretch>
                      <a:fillRect/>
                    </a:stretch>
                  </pic:blipFill>
                  <pic:spPr>
                    <a:xfrm>
                      <a:off x="0" y="0"/>
                      <a:ext cx="5230495" cy="2942590"/>
                    </a:xfrm>
                    <a:prstGeom prst="rect">
                      <a:avLst/>
                    </a:prstGeom>
                  </pic:spPr>
                </pic:pic>
              </a:graphicData>
            </a:graphic>
          </wp:anchor>
        </w:drawing>
      </w:r>
      <w:r>
        <w:rPr>
          <w:rFonts w:hint="eastAsia" w:ascii="宋体" w:hAnsi="宋体" w:eastAsia="宋体" w:cs="宋体"/>
          <w:b w:val="0"/>
          <w:bCs w:val="0"/>
          <w:i w:val="0"/>
          <w:color w:val="000000"/>
          <w:spacing w:val="0"/>
          <w:w w:val="100"/>
          <w:kern w:val="0"/>
          <w:position w:val="0"/>
          <w:sz w:val="24"/>
          <w:szCs w:val="24"/>
          <w:vertAlign w:val="baseline"/>
          <w:lang w:val="zh-CN" w:eastAsia="zh-CN"/>
        </w:rPr>
        <w:t>食品加工工艺课程体系的构建以人才培养目标与规格为总纲，以“围绕地方产业需求，服务乡村振兴”为原则，突出核心岗位职业能力的培养，综合考虑基本职业素养与持续发展能力，将岗位标准、大赛内容、</w:t>
      </w:r>
      <w:r>
        <w:rPr>
          <w:rFonts w:hint="eastAsia" w:ascii="宋体" w:hAnsi="宋体" w:cs="宋体"/>
          <w:b w:val="0"/>
          <w:bCs w:val="0"/>
          <w:i w:val="0"/>
          <w:color w:val="000000"/>
          <w:spacing w:val="0"/>
          <w:w w:val="100"/>
          <w:kern w:val="0"/>
          <w:position w:val="0"/>
          <w:sz w:val="24"/>
          <w:szCs w:val="24"/>
          <w:vertAlign w:val="baseline"/>
          <w:lang w:val="en-US" w:eastAsia="zh-CN"/>
        </w:rPr>
        <w:t>职业技能等级</w:t>
      </w:r>
      <w:r>
        <w:rPr>
          <w:rFonts w:hint="eastAsia" w:ascii="宋体" w:hAnsi="宋体" w:eastAsia="宋体" w:cs="宋体"/>
          <w:b w:val="0"/>
          <w:bCs w:val="0"/>
          <w:i w:val="0"/>
          <w:color w:val="000000"/>
          <w:spacing w:val="0"/>
          <w:w w:val="100"/>
          <w:kern w:val="0"/>
          <w:position w:val="0"/>
          <w:sz w:val="24"/>
          <w:szCs w:val="24"/>
          <w:vertAlign w:val="baseline"/>
          <w:lang w:val="zh-CN" w:eastAsia="zh-CN"/>
        </w:rPr>
        <w:t>证书</w:t>
      </w:r>
      <w:r>
        <w:rPr>
          <w:rFonts w:hint="eastAsia" w:ascii="宋体" w:hAnsi="宋体" w:cs="宋体"/>
          <w:b w:val="0"/>
          <w:bCs w:val="0"/>
          <w:i w:val="0"/>
          <w:color w:val="000000"/>
          <w:spacing w:val="0"/>
          <w:w w:val="100"/>
          <w:kern w:val="0"/>
          <w:position w:val="0"/>
          <w:sz w:val="24"/>
          <w:szCs w:val="24"/>
          <w:vertAlign w:val="baseline"/>
          <w:lang w:val="en-US" w:eastAsia="zh-CN"/>
        </w:rPr>
        <w:t>等</w:t>
      </w:r>
      <w:r>
        <w:rPr>
          <w:rFonts w:hint="eastAsia" w:ascii="宋体" w:hAnsi="宋体" w:eastAsia="宋体" w:cs="宋体"/>
          <w:b w:val="0"/>
          <w:bCs w:val="0"/>
          <w:i w:val="0"/>
          <w:color w:val="000000"/>
          <w:spacing w:val="0"/>
          <w:w w:val="100"/>
          <w:kern w:val="0"/>
          <w:position w:val="0"/>
          <w:sz w:val="24"/>
          <w:szCs w:val="24"/>
          <w:vertAlign w:val="baseline"/>
          <w:lang w:val="zh-CN" w:eastAsia="zh-CN"/>
        </w:rPr>
        <w:t>标准全面融入专业课程，建立“三标合一”“岗课赛证”相融合的模块化课程体系。</w:t>
      </w:r>
    </w:p>
    <w:p w14:paraId="39F1537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both"/>
        <w:textAlignment w:val="baseline"/>
        <w:outlineLvl w:val="1"/>
        <w:rPr>
          <w:rFonts w:hint="eastAsia" w:ascii="宋体" w:hAnsi="宋体" w:eastAsia="宋体" w:cs="宋体"/>
          <w:b w:val="0"/>
          <w:bCs w:val="0"/>
          <w:i w:val="0"/>
          <w:color w:val="000000"/>
          <w:spacing w:val="0"/>
          <w:w w:val="100"/>
          <w:kern w:val="0"/>
          <w:position w:val="0"/>
          <w:sz w:val="24"/>
          <w:szCs w:val="24"/>
          <w:vertAlign w:val="baseline"/>
          <w:lang w:val="zh-CN" w:eastAsia="zh-CN"/>
        </w:rPr>
      </w:pPr>
    </w:p>
    <w:p w14:paraId="21239AC9">
      <w:pPr>
        <w:keepNext w:val="0"/>
        <w:keepLines w:val="0"/>
        <w:pageBreakBefore w:val="0"/>
        <w:wordWrap/>
        <w:overflowPunct/>
        <w:topLinePunct w:val="0"/>
        <w:bidi w:val="0"/>
        <w:spacing w:line="440" w:lineRule="exact"/>
        <w:jc w:val="center"/>
        <w:rPr>
          <w:rFonts w:hint="default" w:eastAsia="宋体"/>
          <w:lang w:val="en-US" w:eastAsia="zh-CN"/>
        </w:rPr>
      </w:pPr>
      <w:r>
        <w:rPr>
          <w:rFonts w:hint="eastAsia" w:eastAsia="宋体"/>
        </w:rPr>
        <w:t>表</w:t>
      </w:r>
      <w:r>
        <w:rPr>
          <w:rFonts w:hint="eastAsia" w:eastAsia="宋体"/>
          <w:lang w:val="en-US" w:eastAsia="zh-CN"/>
        </w:rPr>
        <w:t>3</w:t>
      </w:r>
      <w:r>
        <w:rPr>
          <w:rFonts w:hint="eastAsia" w:eastAsia="宋体"/>
        </w:rPr>
        <w:t>：</w:t>
      </w:r>
      <w:r>
        <w:rPr>
          <w:rFonts w:hint="eastAsia" w:eastAsia="宋体"/>
          <w:lang w:val="en-US" w:eastAsia="zh-CN"/>
        </w:rPr>
        <w:t>食品加工工艺</w:t>
      </w:r>
      <w:r>
        <w:rPr>
          <w:rFonts w:hint="eastAsia" w:eastAsia="宋体"/>
        </w:rPr>
        <w:t>专业</w:t>
      </w:r>
      <w:r>
        <w:rPr>
          <w:rFonts w:hint="eastAsia" w:eastAsia="宋体"/>
          <w:lang w:val="en-US" w:eastAsia="zh-CN"/>
        </w:rPr>
        <w:t>主要课程示例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13" w:type="dxa"/>
          <w:left w:w="113" w:type="dxa"/>
          <w:bottom w:w="113" w:type="dxa"/>
          <w:right w:w="113" w:type="dxa"/>
        </w:tblCellMar>
      </w:tblPr>
      <w:tblGrid>
        <w:gridCol w:w="1827"/>
        <w:gridCol w:w="7540"/>
      </w:tblGrid>
      <w:tr w14:paraId="3FC46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323" w:hRule="atLeast"/>
          <w:jc w:val="center"/>
        </w:trPr>
        <w:tc>
          <w:tcPr>
            <w:tcW w:w="1827" w:type="dxa"/>
            <w:noWrap w:val="0"/>
            <w:vAlign w:val="center"/>
          </w:tcPr>
          <w:p w14:paraId="485E4BE4">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课程模块名称</w:t>
            </w:r>
          </w:p>
        </w:tc>
        <w:tc>
          <w:tcPr>
            <w:tcW w:w="7540" w:type="dxa"/>
            <w:noWrap w:val="0"/>
            <w:vAlign w:val="center"/>
          </w:tcPr>
          <w:p w14:paraId="13B8E113">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eastAsia="宋体" w:cs="宋体"/>
                <w:b/>
                <w:bCs/>
                <w:kern w:val="0"/>
                <w:sz w:val="21"/>
                <w:szCs w:val="21"/>
                <w:lang w:val="zh-CN"/>
              </w:rPr>
            </w:pPr>
            <w:r>
              <w:rPr>
                <w:rFonts w:hint="eastAsia" w:ascii="宋体" w:hAnsi="宋体" w:eastAsia="宋体" w:cs="宋体"/>
                <w:b/>
                <w:bCs/>
                <w:kern w:val="0"/>
                <w:sz w:val="21"/>
                <w:szCs w:val="21"/>
                <w:lang w:val="zh-CN"/>
              </w:rPr>
              <w:t>主要课程</w:t>
            </w:r>
          </w:p>
        </w:tc>
      </w:tr>
      <w:tr w14:paraId="69448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23" w:hRule="atLeast"/>
          <w:jc w:val="center"/>
        </w:trPr>
        <w:tc>
          <w:tcPr>
            <w:tcW w:w="1827" w:type="dxa"/>
            <w:noWrap w:val="0"/>
            <w:vAlign w:val="center"/>
          </w:tcPr>
          <w:p w14:paraId="161EDAC7">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公共基础课程</w:t>
            </w:r>
          </w:p>
        </w:tc>
        <w:tc>
          <w:tcPr>
            <w:tcW w:w="7540" w:type="dxa"/>
            <w:noWrap w:val="0"/>
            <w:vAlign w:val="center"/>
          </w:tcPr>
          <w:p w14:paraId="0A435E95">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eastAsia" w:ascii="宋体" w:hAnsi="宋体" w:eastAsia="宋体" w:cs="宋体"/>
                <w:color w:val="auto"/>
                <w:kern w:val="0"/>
                <w:sz w:val="21"/>
                <w:szCs w:val="21"/>
                <w:lang w:val="zh-CN"/>
              </w:rPr>
            </w:pPr>
            <w:r>
              <w:rPr>
                <w:rFonts w:hint="eastAsia" w:ascii="宋体" w:hAnsi="宋体" w:eastAsia="宋体" w:cs="宋体"/>
                <w:color w:val="auto"/>
                <w:sz w:val="21"/>
                <w:szCs w:val="21"/>
              </w:rPr>
              <w:t>入学教育及军训、中国特色社会主义、心理健康与职业生涯、哲学与人生、职业道德与法治、历史、语文、数学、英语、体育与健康、</w:t>
            </w:r>
            <w:r>
              <w:rPr>
                <w:rFonts w:hint="eastAsia" w:ascii="宋体" w:hAnsi="宋体" w:eastAsia="宋体" w:cs="宋体"/>
                <w:color w:val="auto"/>
                <w:sz w:val="21"/>
                <w:szCs w:val="21"/>
                <w:highlight w:val="yellow"/>
              </w:rPr>
              <w:t>信息技术、</w:t>
            </w:r>
            <w:r>
              <w:rPr>
                <w:rFonts w:hint="eastAsia" w:ascii="宋体" w:hAnsi="宋体" w:eastAsia="宋体" w:cs="宋体"/>
                <w:color w:val="auto"/>
                <w:sz w:val="21"/>
                <w:szCs w:val="21"/>
              </w:rPr>
              <w:t>劳动教育、艺术、中华优秀传统文化、职业素养、安全教育</w:t>
            </w:r>
            <w:r>
              <w:rPr>
                <w:rFonts w:hint="eastAsia" w:ascii="宋体" w:hAnsi="宋体" w:cs="宋体"/>
                <w:color w:val="auto"/>
                <w:sz w:val="21"/>
                <w:szCs w:val="21"/>
                <w:lang w:val="en-US" w:eastAsia="zh-CN"/>
              </w:rPr>
              <w:t>等</w:t>
            </w:r>
            <w:r>
              <w:rPr>
                <w:rFonts w:hint="eastAsia" w:ascii="宋体" w:hAnsi="宋体" w:eastAsia="宋体" w:cs="宋体"/>
                <w:color w:val="auto"/>
                <w:sz w:val="21"/>
                <w:szCs w:val="21"/>
              </w:rPr>
              <w:t>。</w:t>
            </w:r>
          </w:p>
        </w:tc>
      </w:tr>
      <w:tr w14:paraId="7D6FA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549" w:hRule="atLeast"/>
          <w:jc w:val="center"/>
        </w:trPr>
        <w:tc>
          <w:tcPr>
            <w:tcW w:w="1827" w:type="dxa"/>
            <w:noWrap w:val="0"/>
            <w:vAlign w:val="center"/>
          </w:tcPr>
          <w:p w14:paraId="6621D38F">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专业课程</w:t>
            </w:r>
          </w:p>
        </w:tc>
        <w:tc>
          <w:tcPr>
            <w:tcW w:w="7540" w:type="dxa"/>
            <w:noWrap w:val="0"/>
            <w:vAlign w:val="center"/>
          </w:tcPr>
          <w:p w14:paraId="5EE4E6A5">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en-US" w:eastAsia="zh-CN"/>
              </w:rPr>
              <w:t>物理、化学、食品营养与健康、食品原料基础、食品加工工艺基础、食品法律法规与标准；乳制品加工工艺、裱花蛋糕工艺、饮料加工工艺、食品发酵技术；食品理化分析与检验、食品微生物检验、食品安全与质量控制、食品贮运与保鲜技术。</w:t>
            </w:r>
          </w:p>
        </w:tc>
      </w:tr>
      <w:tr w14:paraId="018F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13" w:type="dxa"/>
            <w:left w:w="113" w:type="dxa"/>
            <w:bottom w:w="113" w:type="dxa"/>
            <w:right w:w="113" w:type="dxa"/>
          </w:tblCellMar>
        </w:tblPrEx>
        <w:trPr>
          <w:trHeight w:val="549" w:hRule="atLeast"/>
          <w:jc w:val="center"/>
        </w:trPr>
        <w:tc>
          <w:tcPr>
            <w:tcW w:w="1827" w:type="dxa"/>
            <w:noWrap w:val="0"/>
            <w:vAlign w:val="center"/>
          </w:tcPr>
          <w:p w14:paraId="760E2CF1">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eastAsia="宋体" w:cs="宋体"/>
                <w:kern w:val="0"/>
                <w:sz w:val="21"/>
                <w:szCs w:val="21"/>
                <w:lang w:val="zh-CN" w:eastAsia="zh-Hans"/>
              </w:rPr>
            </w:pPr>
            <w:r>
              <w:rPr>
                <w:rFonts w:hint="eastAsia" w:ascii="宋体" w:hAnsi="宋体" w:eastAsia="宋体" w:cs="宋体"/>
                <w:kern w:val="0"/>
                <w:sz w:val="21"/>
                <w:szCs w:val="21"/>
                <w:lang w:val="zh-CN" w:eastAsia="zh-Hans"/>
              </w:rPr>
              <w:t>专业选修课程</w:t>
            </w:r>
          </w:p>
        </w:tc>
        <w:tc>
          <w:tcPr>
            <w:tcW w:w="7540" w:type="dxa"/>
            <w:noWrap w:val="0"/>
            <w:vAlign w:val="center"/>
          </w:tcPr>
          <w:p w14:paraId="2CE9CBCD">
            <w:pPr>
              <w:keepNext w:val="0"/>
              <w:keepLines w:val="0"/>
              <w:pageBreakBefore w:val="0"/>
              <w:widowControl w:val="0"/>
              <w:kinsoku/>
              <w:wordWrap/>
              <w:overflowPunct/>
              <w:topLinePunct w:val="0"/>
              <w:autoSpaceDE w:val="0"/>
              <w:autoSpaceDN w:val="0"/>
              <w:bidi w:val="0"/>
              <w:adjustRightInd w:val="0"/>
              <w:snapToGrid w:val="0"/>
              <w:spacing w:line="440" w:lineRule="exact"/>
              <w:jc w:val="left"/>
              <w:textAlignment w:val="auto"/>
              <w:rPr>
                <w:rFonts w:hint="eastAsia" w:ascii="宋体" w:hAnsi="宋体" w:eastAsia="宋体" w:cs="宋体"/>
                <w:color w:val="auto"/>
                <w:sz w:val="21"/>
                <w:szCs w:val="21"/>
                <w:lang w:val="zh-CN" w:eastAsia="zh-Hans"/>
              </w:rPr>
            </w:pPr>
            <w:r>
              <w:rPr>
                <w:rFonts w:hint="eastAsia" w:ascii="宋体" w:hAnsi="宋体" w:eastAsia="宋体" w:cs="宋体"/>
                <w:color w:val="auto"/>
                <w:sz w:val="21"/>
                <w:szCs w:val="21"/>
                <w:lang w:val="en-US" w:eastAsia="zh-CN"/>
              </w:rPr>
              <w:t>食品添加剂与配料应用技术、食品智能加工技术、食品机械与设备。</w:t>
            </w:r>
          </w:p>
        </w:tc>
      </w:tr>
    </w:tbl>
    <w:p w14:paraId="01D4FCAB">
      <w:pPr>
        <w:pStyle w:val="3"/>
        <w:bidi w:val="0"/>
        <w:rPr>
          <w:rFonts w:hint="eastAsia"/>
          <w:sz w:val="24"/>
          <w:szCs w:val="24"/>
          <w:lang w:val="zh-CN" w:eastAsia="zh-CN"/>
        </w:rPr>
      </w:pPr>
      <w:bookmarkStart w:id="21" w:name="_Toc14220"/>
      <w:bookmarkStart w:id="22" w:name="_Toc113290235"/>
      <w:bookmarkStart w:id="23" w:name="_Toc15763"/>
      <w:bookmarkStart w:id="24" w:name="_Toc883371619"/>
      <w:r>
        <w:rPr>
          <w:rFonts w:hint="eastAsia"/>
          <w:sz w:val="24"/>
          <w:szCs w:val="24"/>
          <w:lang w:val="zh-CN" w:eastAsia="zh-CN"/>
        </w:rPr>
        <w:t>（三）课程描述</w:t>
      </w:r>
      <w:bookmarkEnd w:id="21"/>
      <w:bookmarkEnd w:id="22"/>
      <w:bookmarkEnd w:id="23"/>
      <w:bookmarkEnd w:id="24"/>
    </w:p>
    <w:p w14:paraId="2AEDD22F">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kern w:val="0"/>
          <w:sz w:val="24"/>
          <w:szCs w:val="24"/>
          <w:lang w:val="zh-CN"/>
        </w:rPr>
      </w:pPr>
      <w:r>
        <w:rPr>
          <w:rFonts w:hint="eastAsia" w:asciiTheme="minorEastAsia" w:hAnsiTheme="minorEastAsia" w:eastAsiaTheme="minorEastAsia" w:cstheme="minorEastAsia"/>
          <w:b/>
          <w:bCs/>
          <w:kern w:val="0"/>
          <w:sz w:val="24"/>
          <w:szCs w:val="24"/>
          <w:lang w:val="zh-CN"/>
        </w:rPr>
        <w:t>1.公共基础课程</w:t>
      </w:r>
    </w:p>
    <w:p w14:paraId="1DA6D47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 xml:space="preserve">公共基础课程是中等职业学校课程体系的重要组成部分，是培养学生思想政治素质、科学文化素养等的基本途径，对于促进学生可持续发展具有重要意义。此部分课程面向学校全体学生，全面落实教育部关于印发《中等职业学校思想政治、语文、历史课程标准（2020 年版）》的通知（教材〔2020〕2 号）、《关于职业院校专业人才培养方案制订与实施工作的指导意见》（教职成〔2019〕13号）等文件的相关规定，根据学校和学生实际需求对必修课程进行适当调整，培养具有本学科核心素养的高素质劳动者和技术技能人才。 </w:t>
      </w:r>
    </w:p>
    <w:tbl>
      <w:tblPr>
        <w:tblStyle w:val="15"/>
        <w:tblW w:w="10077"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57" w:type="dxa"/>
          <w:left w:w="57" w:type="dxa"/>
          <w:bottom w:w="57" w:type="dxa"/>
          <w:right w:w="57" w:type="dxa"/>
        </w:tblCellMar>
      </w:tblPr>
      <w:tblGrid>
        <w:gridCol w:w="362"/>
        <w:gridCol w:w="510"/>
        <w:gridCol w:w="600"/>
        <w:gridCol w:w="3052"/>
        <w:gridCol w:w="2539"/>
        <w:gridCol w:w="1789"/>
        <w:gridCol w:w="1225"/>
      </w:tblGrid>
      <w:tr w14:paraId="0684544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23" w:hRule="atLeast"/>
          <w:jc w:val="center"/>
        </w:trPr>
        <w:tc>
          <w:tcPr>
            <w:tcW w:w="362" w:type="dxa"/>
            <w:tcBorders>
              <w:top w:val="single" w:color="000000" w:sz="6" w:space="0"/>
            </w:tcBorders>
            <w:noWrap w:val="0"/>
            <w:vAlign w:val="center"/>
          </w:tcPr>
          <w:p w14:paraId="4D0FBFA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序号</w:t>
            </w:r>
          </w:p>
        </w:tc>
        <w:tc>
          <w:tcPr>
            <w:tcW w:w="510" w:type="dxa"/>
            <w:tcBorders>
              <w:top w:val="single" w:color="000000" w:sz="6" w:space="0"/>
            </w:tcBorders>
            <w:noWrap w:val="0"/>
            <w:vAlign w:val="center"/>
          </w:tcPr>
          <w:p w14:paraId="1081F8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w:t>
            </w:r>
          </w:p>
        </w:tc>
        <w:tc>
          <w:tcPr>
            <w:tcW w:w="600" w:type="dxa"/>
            <w:tcBorders>
              <w:top w:val="single" w:color="000000" w:sz="6" w:space="0"/>
            </w:tcBorders>
            <w:noWrap w:val="0"/>
            <w:vAlign w:val="center"/>
          </w:tcPr>
          <w:p w14:paraId="422A9F6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学分/</w:t>
            </w:r>
          </w:p>
          <w:p w14:paraId="6B174D0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学时</w:t>
            </w:r>
          </w:p>
        </w:tc>
        <w:tc>
          <w:tcPr>
            <w:tcW w:w="3052" w:type="dxa"/>
            <w:tcBorders>
              <w:top w:val="single" w:color="000000" w:sz="6" w:space="0"/>
            </w:tcBorders>
            <w:noWrap w:val="0"/>
            <w:vAlign w:val="center"/>
          </w:tcPr>
          <w:p w14:paraId="6E3D4C7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课程目标</w:t>
            </w:r>
          </w:p>
        </w:tc>
        <w:tc>
          <w:tcPr>
            <w:tcW w:w="2539" w:type="dxa"/>
            <w:tcBorders>
              <w:top w:val="single" w:color="000000" w:sz="6" w:space="0"/>
            </w:tcBorders>
            <w:noWrap w:val="0"/>
            <w:vAlign w:val="center"/>
          </w:tcPr>
          <w:p w14:paraId="0D03BE8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主要教学内容</w:t>
            </w:r>
          </w:p>
        </w:tc>
        <w:tc>
          <w:tcPr>
            <w:tcW w:w="1789" w:type="dxa"/>
            <w:tcBorders>
              <w:top w:val="single" w:color="000000" w:sz="6" w:space="0"/>
            </w:tcBorders>
            <w:noWrap w:val="0"/>
            <w:vAlign w:val="center"/>
          </w:tcPr>
          <w:p w14:paraId="2F14BD8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教学要求</w:t>
            </w:r>
          </w:p>
        </w:tc>
        <w:tc>
          <w:tcPr>
            <w:tcW w:w="1225" w:type="dxa"/>
            <w:tcBorders>
              <w:top w:val="single" w:color="000000" w:sz="6" w:space="0"/>
            </w:tcBorders>
            <w:noWrap w:val="0"/>
            <w:vAlign w:val="center"/>
          </w:tcPr>
          <w:p w14:paraId="5B93D5A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设置依据</w:t>
            </w:r>
          </w:p>
        </w:tc>
      </w:tr>
      <w:tr w14:paraId="4C03B7A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362" w:type="dxa"/>
            <w:noWrap w:val="0"/>
            <w:vAlign w:val="center"/>
          </w:tcPr>
          <w:p w14:paraId="09AA9B7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val="zh-CN"/>
              </w:rPr>
              <w:t>1</w:t>
            </w:r>
          </w:p>
        </w:tc>
        <w:tc>
          <w:tcPr>
            <w:tcW w:w="510" w:type="dxa"/>
            <w:noWrap w:val="0"/>
            <w:vAlign w:val="center"/>
          </w:tcPr>
          <w:p w14:paraId="2C1FF98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入</w:t>
            </w:r>
            <w:r>
              <w:rPr>
                <w:rFonts w:hint="eastAsia" w:asciiTheme="minorEastAsia" w:hAnsiTheme="minorEastAsia" w:eastAsiaTheme="minorEastAsia" w:cstheme="minorEastAsia"/>
                <w:sz w:val="24"/>
                <w:szCs w:val="24"/>
                <w:lang w:val="en-US" w:eastAsia="zh-CN"/>
              </w:rPr>
              <w:t>入</w:t>
            </w:r>
            <w:r>
              <w:rPr>
                <w:rFonts w:hint="eastAsia" w:asciiTheme="minorEastAsia" w:hAnsiTheme="minorEastAsia" w:eastAsiaTheme="minorEastAsia" w:cstheme="minorEastAsia"/>
                <w:sz w:val="24"/>
                <w:szCs w:val="24"/>
                <w:lang w:val="zh-CN"/>
              </w:rPr>
              <w:t>学教育及军训</w:t>
            </w:r>
          </w:p>
        </w:tc>
        <w:tc>
          <w:tcPr>
            <w:tcW w:w="600" w:type="dxa"/>
            <w:noWrap w:val="0"/>
            <w:vAlign w:val="center"/>
          </w:tcPr>
          <w:p w14:paraId="00E5F1C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lang w:val="en-US" w:eastAsia="zh-CN"/>
              </w:rPr>
              <w:t>60</w:t>
            </w:r>
          </w:p>
        </w:tc>
        <w:tc>
          <w:tcPr>
            <w:tcW w:w="3052" w:type="dxa"/>
            <w:noWrap w:val="0"/>
            <w:vAlign w:val="center"/>
          </w:tcPr>
          <w:p w14:paraId="4147023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通过军事理论课教学,让学生了解掌握军事基础知识,增强国防观念、国家安全意识和忧患危机意识，弘扬爱国主义精神、传承红色基因、提高学生综合国防素质</w:t>
            </w:r>
          </w:p>
          <w:p w14:paraId="000A0F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通过军事技能课教学，让学生了解掌握基本军事技能，增强国防观念、国家安全意识和忧患危机意识，弘扬爱国主义精神、传承红色基因、提高学生综合国防素质</w:t>
            </w:r>
          </w:p>
        </w:tc>
        <w:tc>
          <w:tcPr>
            <w:tcW w:w="2539" w:type="dxa"/>
            <w:noWrap w:val="0"/>
            <w:vAlign w:val="center"/>
          </w:tcPr>
          <w:p w14:paraId="6611521E">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1.中国国防</w:t>
            </w:r>
          </w:p>
          <w:p w14:paraId="17EFED5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2.国家安全</w:t>
            </w:r>
          </w:p>
          <w:p w14:paraId="309F66EB">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3.军事思想</w:t>
            </w:r>
          </w:p>
          <w:p w14:paraId="0A0E6ACD">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4.现代战争</w:t>
            </w:r>
          </w:p>
          <w:p w14:paraId="01260EF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5.军事化装备</w:t>
            </w:r>
          </w:p>
          <w:p w14:paraId="2B325B51">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6.共同条令教育与训练</w:t>
            </w:r>
          </w:p>
          <w:p w14:paraId="77236F1C">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7.防卫技能与战时防护训练</w:t>
            </w:r>
          </w:p>
          <w:p w14:paraId="7702E101">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8.战备基础与应用训练</w:t>
            </w:r>
          </w:p>
        </w:tc>
        <w:tc>
          <w:tcPr>
            <w:tcW w:w="1789" w:type="dxa"/>
            <w:noWrap w:val="0"/>
            <w:vAlign w:val="center"/>
          </w:tcPr>
          <w:p w14:paraId="627523C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坚持课堂教学和教官面授在军事课教学中的主渠道作用，重视信息技术和在线课程在教学中的应用和管理。</w:t>
            </w:r>
          </w:p>
          <w:p w14:paraId="6FB474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军事技能训练坚持按纲施训、依法治训原则，积极推广仿真训练和模拟训练</w:t>
            </w:r>
          </w:p>
        </w:tc>
        <w:tc>
          <w:tcPr>
            <w:tcW w:w="1225" w:type="dxa"/>
            <w:noWrap w:val="0"/>
            <w:vAlign w:val="center"/>
          </w:tcPr>
          <w:p w14:paraId="1E9C91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参照《安徽省教育厅安徽省军区战备建设局转发普通高等学校军事课建设标准的通知》（皖教秘〔2019〕388号）</w:t>
            </w:r>
          </w:p>
        </w:tc>
      </w:tr>
      <w:tr w14:paraId="49E8F34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1391" w:hRule="atLeast"/>
          <w:jc w:val="center"/>
        </w:trPr>
        <w:tc>
          <w:tcPr>
            <w:tcW w:w="362" w:type="dxa"/>
            <w:noWrap w:val="0"/>
            <w:vAlign w:val="center"/>
          </w:tcPr>
          <w:p w14:paraId="4F60084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w:t>
            </w:r>
          </w:p>
        </w:tc>
        <w:tc>
          <w:tcPr>
            <w:tcW w:w="510" w:type="dxa"/>
            <w:noWrap w:val="0"/>
            <w:vAlign w:val="center"/>
          </w:tcPr>
          <w:p w14:paraId="106151D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rPr>
              <w:t>劳</w:t>
            </w:r>
            <w:r>
              <w:rPr>
                <w:rFonts w:hint="eastAsia" w:asciiTheme="minorEastAsia" w:hAnsiTheme="minorEastAsia" w:eastAsiaTheme="minorEastAsia" w:cstheme="minorEastAsia"/>
                <w:sz w:val="24"/>
                <w:szCs w:val="24"/>
                <w:lang w:val="en-US" w:eastAsia="zh-CN"/>
              </w:rPr>
              <w:t>劳</w:t>
            </w:r>
            <w:r>
              <w:rPr>
                <w:rFonts w:hint="eastAsia" w:asciiTheme="minorEastAsia" w:hAnsiTheme="minorEastAsia" w:eastAsiaTheme="minorEastAsia" w:cstheme="minorEastAsia"/>
                <w:sz w:val="24"/>
                <w:szCs w:val="24"/>
                <w:lang w:val="zh-CN"/>
              </w:rPr>
              <w:t>动教育</w:t>
            </w:r>
          </w:p>
        </w:tc>
        <w:tc>
          <w:tcPr>
            <w:tcW w:w="600" w:type="dxa"/>
            <w:noWrap w:val="0"/>
            <w:vAlign w:val="center"/>
          </w:tcPr>
          <w:p w14:paraId="78C630D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lang w:val="en-US" w:eastAsia="zh-CN"/>
              </w:rPr>
              <w:t>60</w:t>
            </w:r>
          </w:p>
        </w:tc>
        <w:tc>
          <w:tcPr>
            <w:tcW w:w="3052" w:type="dxa"/>
            <w:noWrap w:val="0"/>
            <w:vAlign w:val="center"/>
          </w:tcPr>
          <w:p w14:paraId="5CE0436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获得各种劳动体验，形成良好的技术素养，增强创新精神和实践能力，强调动手与动脑的结合，培养吃苦耐劳、热爱劳动的精神</w:t>
            </w:r>
          </w:p>
        </w:tc>
        <w:tc>
          <w:tcPr>
            <w:tcW w:w="2539" w:type="dxa"/>
            <w:noWrap w:val="0"/>
            <w:vAlign w:val="center"/>
          </w:tcPr>
          <w:p w14:paraId="1848CFB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1.组织劳动知识、劳动安全、劳动纪律等方面的教育，讲解学期劳动计划、宣贯劳动观念、劳动价值</w:t>
            </w:r>
          </w:p>
          <w:p w14:paraId="274C08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2.通过劳动组织动员，使学生树立正确的劳动观念，引导学生热爱劳动、尊重劳动人民、珍惜劳动成果，自觉遵守劳动安全规定</w:t>
            </w:r>
          </w:p>
        </w:tc>
        <w:tc>
          <w:tcPr>
            <w:tcW w:w="1789" w:type="dxa"/>
            <w:noWrap w:val="0"/>
            <w:vAlign w:val="center"/>
          </w:tcPr>
          <w:p w14:paraId="681BF0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在“理论教学+智慧课堂+探究拓展”的教学模式中，采用课堂讲授、讲练结合、慕课辅助、软件实训、自主学习等相结合的方式实施教学</w:t>
            </w:r>
          </w:p>
        </w:tc>
        <w:tc>
          <w:tcPr>
            <w:tcW w:w="1225" w:type="dxa"/>
            <w:noWrap w:val="0"/>
            <w:vAlign w:val="center"/>
          </w:tcPr>
          <w:p w14:paraId="1D93F0A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参照《教育部关于职业院校专业人才培养方案制定与实施工作的指导意见》教职成〔2019〕13号</w:t>
            </w:r>
          </w:p>
        </w:tc>
      </w:tr>
      <w:tr w14:paraId="4292E27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634" w:hRule="atLeast"/>
          <w:jc w:val="center"/>
        </w:trPr>
        <w:tc>
          <w:tcPr>
            <w:tcW w:w="362" w:type="dxa"/>
            <w:noWrap w:val="0"/>
            <w:vAlign w:val="center"/>
          </w:tcPr>
          <w:p w14:paraId="65020CE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33</w:t>
            </w:r>
          </w:p>
        </w:tc>
        <w:tc>
          <w:tcPr>
            <w:tcW w:w="510" w:type="dxa"/>
            <w:noWrap w:val="0"/>
            <w:vAlign w:val="center"/>
          </w:tcPr>
          <w:p w14:paraId="7421C40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rPr>
              <w:t>安</w:t>
            </w:r>
            <w:r>
              <w:rPr>
                <w:rFonts w:hint="eastAsia" w:asciiTheme="minorEastAsia" w:hAnsiTheme="minorEastAsia" w:eastAsiaTheme="minorEastAsia" w:cstheme="minorEastAsia"/>
                <w:sz w:val="24"/>
                <w:szCs w:val="24"/>
                <w:lang w:val="en-US" w:eastAsia="zh-CN"/>
              </w:rPr>
              <w:t>安</w:t>
            </w:r>
            <w:r>
              <w:rPr>
                <w:rFonts w:hint="eastAsia" w:asciiTheme="minorEastAsia" w:hAnsiTheme="minorEastAsia" w:eastAsiaTheme="minorEastAsia" w:cstheme="minorEastAsia"/>
                <w:sz w:val="24"/>
                <w:szCs w:val="24"/>
                <w:lang w:val="zh-CN"/>
              </w:rPr>
              <w:t>全教育</w:t>
            </w:r>
          </w:p>
        </w:tc>
        <w:tc>
          <w:tcPr>
            <w:tcW w:w="600" w:type="dxa"/>
            <w:noWrap w:val="0"/>
            <w:vAlign w:val="center"/>
          </w:tcPr>
          <w:p w14:paraId="6C049F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60</w:t>
            </w:r>
          </w:p>
        </w:tc>
        <w:tc>
          <w:tcPr>
            <w:tcW w:w="3052" w:type="dxa"/>
            <w:noWrap w:val="0"/>
            <w:vAlign w:val="center"/>
          </w:tcPr>
          <w:p w14:paraId="0F99E66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本课程旨在使学生掌握必要的安全知识和技能，教育学生在各种环境下保护自己和他人的安全，应对可能发生的意外和危险情况。掌握急救的处理方法和急救技能，增强安全意识，促进安全校园和社区环境的建设。</w:t>
            </w:r>
          </w:p>
        </w:tc>
        <w:tc>
          <w:tcPr>
            <w:tcW w:w="2539" w:type="dxa"/>
            <w:noWrap w:val="0"/>
            <w:vAlign w:val="center"/>
          </w:tcPr>
          <w:p w14:paraId="59AD6D4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val="zh-CN" w:eastAsia="zh-CN"/>
              </w:rPr>
              <w:t>心肺复苏术（CPR）：心肺复苏术是最基本的抢救呼吸、心搏骤停者生命的方法。</w:t>
            </w:r>
          </w:p>
          <w:p w14:paraId="4FFC4DC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止血包扎：学会使用三角巾、绷带等进行止血和包扎，以处理外伤出血。</w:t>
            </w:r>
          </w:p>
          <w:p w14:paraId="5A39405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急救药品使用：了解常见急救药品的使用方法，如止痛药、抗过敏药等，以便在需要时进行自我救治或帮助他人。</w:t>
            </w:r>
          </w:p>
          <w:p w14:paraId="50EFF6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val="zh-CN" w:eastAsia="zh-CN"/>
              </w:rPr>
              <w:t>火灾逃生与灭火技能：掌握火灾逃生的基本原则和方法，如避开浓烟、寻找安全出口、使用湿毛巾捂住口鼻等。熟悉干粉、泡沫、二氧化碳等灭火器的使用方法，了解不同类型火灾的适用灭火器，以便在火灾初期进行扑救。</w:t>
            </w:r>
          </w:p>
          <w:p w14:paraId="464E3F7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val="zh-CN" w:eastAsia="zh-CN"/>
              </w:rPr>
              <w:t>交通安全知识：遵守交通规则和交通信号的重要性，了解安全行车、骑车和步行的注意事项。学习如何应对交通事故和进行急救处理，如拨打急救电话、保护现场、救助伤员等。</w:t>
            </w:r>
          </w:p>
        </w:tc>
        <w:tc>
          <w:tcPr>
            <w:tcW w:w="1789" w:type="dxa"/>
            <w:noWrap w:val="0"/>
            <w:vAlign w:val="center"/>
          </w:tcPr>
          <w:p w14:paraId="76065A3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以理论教学+技能训练的模式实施教学</w:t>
            </w:r>
          </w:p>
        </w:tc>
        <w:tc>
          <w:tcPr>
            <w:tcW w:w="1225" w:type="dxa"/>
            <w:noWrap w:val="0"/>
            <w:vAlign w:val="center"/>
          </w:tcPr>
          <w:p w14:paraId="56A5353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参照</w:t>
            </w:r>
            <w:r>
              <w:rPr>
                <w:rFonts w:hint="eastAsia" w:asciiTheme="minorEastAsia" w:hAnsiTheme="minorEastAsia" w:eastAsiaTheme="minorEastAsia" w:cstheme="minorEastAsia"/>
                <w:sz w:val="24"/>
                <w:szCs w:val="24"/>
                <w:lang w:val="zh-CN" w:eastAsia="zh-CN"/>
              </w:rPr>
              <w:t>《中小学生公共安全教育指导纲要》《生命安全与健康教育进中小学课程教材指南》</w:t>
            </w:r>
          </w:p>
        </w:tc>
      </w:tr>
      <w:tr w14:paraId="7CC460D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2128" w:hRule="atLeast"/>
          <w:jc w:val="center"/>
        </w:trPr>
        <w:tc>
          <w:tcPr>
            <w:tcW w:w="362" w:type="dxa"/>
            <w:noWrap w:val="0"/>
            <w:vAlign w:val="center"/>
          </w:tcPr>
          <w:p w14:paraId="7FF83B6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44</w:t>
            </w:r>
          </w:p>
        </w:tc>
        <w:tc>
          <w:tcPr>
            <w:tcW w:w="510" w:type="dxa"/>
            <w:noWrap w:val="0"/>
            <w:vAlign w:val="center"/>
          </w:tcPr>
          <w:p w14:paraId="5C9840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心心理健康教育</w:t>
            </w:r>
          </w:p>
        </w:tc>
        <w:tc>
          <w:tcPr>
            <w:tcW w:w="600" w:type="dxa"/>
            <w:noWrap w:val="0"/>
            <w:vAlign w:val="center"/>
          </w:tcPr>
          <w:p w14:paraId="7CC267D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3/48</w:t>
            </w:r>
          </w:p>
        </w:tc>
        <w:tc>
          <w:tcPr>
            <w:tcW w:w="3052" w:type="dxa"/>
            <w:noWrap w:val="0"/>
            <w:vAlign w:val="center"/>
          </w:tcPr>
          <w:p w14:paraId="0E44D7B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本课程</w:t>
            </w:r>
            <w:r>
              <w:rPr>
                <w:rFonts w:hint="eastAsia" w:asciiTheme="minorEastAsia" w:hAnsiTheme="minorEastAsia" w:eastAsiaTheme="minorEastAsia" w:cstheme="minorEastAsia"/>
                <w:sz w:val="24"/>
                <w:szCs w:val="24"/>
                <w:lang w:val="zh-CN" w:eastAsia="zh-CN"/>
              </w:rPr>
              <w:t>帮助学生了解心理健康的基本知识，树立心理健康意识，掌握心理调适的方法。指导学生正确处理各种人际关系，学会合作与竞争，培养职业兴趣，提高应对挫折、求职就业、适应社会的能力。正确认识自我，学会有效学习，确立符合自身发展的积极生活目标，培养责任感、义务感和创新精神，养成自信、自律、敬业、乐群的心理品质，提高全体学生的心理健康水平和职业心理素质。</w:t>
            </w:r>
          </w:p>
        </w:tc>
        <w:tc>
          <w:tcPr>
            <w:tcW w:w="2539" w:type="dxa"/>
            <w:noWrap w:val="0"/>
            <w:vAlign w:val="center"/>
          </w:tcPr>
          <w:p w14:paraId="2E8A153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1.心理健康基本知识</w:t>
            </w:r>
          </w:p>
          <w:p w14:paraId="1E23C82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2.悦纳自我，健康成长</w:t>
            </w:r>
          </w:p>
          <w:p w14:paraId="4740E8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3.和谐关系，快乐生活</w:t>
            </w:r>
          </w:p>
          <w:p w14:paraId="6F8DA37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4.学会有效学习</w:t>
            </w:r>
          </w:p>
          <w:p w14:paraId="20279F6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5.提升职业心理素质</w:t>
            </w:r>
          </w:p>
        </w:tc>
        <w:tc>
          <w:tcPr>
            <w:tcW w:w="1789" w:type="dxa"/>
            <w:noWrap w:val="0"/>
            <w:vAlign w:val="center"/>
          </w:tcPr>
          <w:p w14:paraId="54A4438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了解心理健康的概念，理解心理健康的标准；了解自己的性格特征、行为方式和成长规律；了解人际交往和社会适应障碍的成因，理解和谐人际关系、快乐生活的意义；了解激发学习兴趣和动机的方法，理解学习概念的新内涵；了解职业心理素质的重要性，正确对待求职就业与创业中出现的心理行为问题。</w:t>
            </w:r>
          </w:p>
        </w:tc>
        <w:tc>
          <w:tcPr>
            <w:tcW w:w="1225" w:type="dxa"/>
            <w:noWrap w:val="0"/>
            <w:vAlign w:val="center"/>
          </w:tcPr>
          <w:p w14:paraId="35A65BF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参照《中等职业学校学生心理健康教育指导纲要》</w:t>
            </w:r>
          </w:p>
        </w:tc>
      </w:tr>
      <w:tr w14:paraId="32262B9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2810" w:hRule="atLeast"/>
          <w:jc w:val="center"/>
        </w:trPr>
        <w:tc>
          <w:tcPr>
            <w:tcW w:w="362" w:type="dxa"/>
            <w:noWrap w:val="0"/>
            <w:vAlign w:val="center"/>
          </w:tcPr>
          <w:p w14:paraId="62F3F68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5</w:t>
            </w:r>
          </w:p>
        </w:tc>
        <w:tc>
          <w:tcPr>
            <w:tcW w:w="510" w:type="dxa"/>
            <w:noWrap w:val="0"/>
            <w:vAlign w:val="center"/>
          </w:tcPr>
          <w:p w14:paraId="509B444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中国特色社会主义</w:t>
            </w:r>
          </w:p>
        </w:tc>
        <w:tc>
          <w:tcPr>
            <w:tcW w:w="600" w:type="dxa"/>
            <w:noWrap w:val="0"/>
            <w:vAlign w:val="center"/>
          </w:tcPr>
          <w:p w14:paraId="002A08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2/36</w:t>
            </w:r>
          </w:p>
        </w:tc>
        <w:tc>
          <w:tcPr>
            <w:tcW w:w="3052" w:type="dxa"/>
            <w:noWrap w:val="0"/>
            <w:vAlign w:val="center"/>
          </w:tcPr>
          <w:p w14:paraId="379FA09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以习近平新时代中国特色社会主义思想为指导，阐释中国特色社会主义的开创与发展，明确中国特色社会主义进入新时代的历史方位，阐明中国特色社会主义建设“五位一体”总体布局的基本内容，引导学生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p w14:paraId="7E03C55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p>
        </w:tc>
        <w:tc>
          <w:tcPr>
            <w:tcW w:w="2539" w:type="dxa"/>
            <w:noWrap w:val="0"/>
            <w:vAlign w:val="center"/>
          </w:tcPr>
          <w:p w14:paraId="425C6D3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1.社会主义在中国的确立与探索</w:t>
            </w:r>
          </w:p>
          <w:p w14:paraId="016CCE5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2.中国特色社会主义的开创和发展</w:t>
            </w:r>
          </w:p>
          <w:p w14:paraId="474D63B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3.中国特色社会主义进入新时代</w:t>
            </w:r>
          </w:p>
          <w:p w14:paraId="316AA28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4.社会主义基本经济制度</w:t>
            </w:r>
          </w:p>
          <w:p w14:paraId="17D5B2C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5.推动高质量发展</w:t>
            </w:r>
          </w:p>
          <w:p w14:paraId="33D9CEE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7.党是最高政治领导力量</w:t>
            </w:r>
          </w:p>
          <w:p w14:paraId="7EC6EB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8.用制度体系保证人民当家作主</w:t>
            </w:r>
          </w:p>
          <w:p w14:paraId="139EE26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9.发展社会主义民主政治</w:t>
            </w:r>
          </w:p>
          <w:p w14:paraId="27DBD2B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10.文化自信与文明交流互鉴</w:t>
            </w:r>
          </w:p>
          <w:p w14:paraId="44E586F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11.以社会主义核心价值观引领文化建设</w:t>
            </w:r>
          </w:p>
          <w:p w14:paraId="7923DC6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12.增进民生福祉</w:t>
            </w:r>
          </w:p>
          <w:p w14:paraId="58ECD95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13.社会治理与总体国家安全观</w:t>
            </w:r>
          </w:p>
          <w:p w14:paraId="4280104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14.推进绿色发展</w:t>
            </w:r>
          </w:p>
          <w:p w14:paraId="6E70CC6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15.建设美丽中国</w:t>
            </w:r>
          </w:p>
          <w:p w14:paraId="21D6CEA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p>
        </w:tc>
        <w:tc>
          <w:tcPr>
            <w:tcW w:w="1789" w:type="dxa"/>
            <w:noWrap w:val="0"/>
            <w:vAlign w:val="center"/>
          </w:tcPr>
          <w:p w14:paraId="16E47E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本课程构建理论教学+课堂互动+探究拓展一体化教学模式，整合课堂讲授、实践实训、网络线上教学与学生自主学习多元路径开展教学实施。课堂教学坚持以学生为主体、教师为主导，创新教学方法，强化师生双向互动，充分调动学生学习主动性与参与热情。实践教学作为课堂教学的延伸拓展，聚焦知识内化与能力提升，帮助学生巩固课堂所学，深化对教学重难点的理解、领悟与熟练掌握。网络教学作为线下课堂的有益补充，依托线上学习资源，引导学生自主研学基础知识与核心理论，拓宽学习维度，实现线上线下、课内课外深度融合的立体化教学格局。</w:t>
            </w:r>
          </w:p>
        </w:tc>
        <w:tc>
          <w:tcPr>
            <w:tcW w:w="1225" w:type="dxa"/>
            <w:noWrap w:val="0"/>
            <w:vAlign w:val="center"/>
          </w:tcPr>
          <w:p w14:paraId="2B9FDB5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参照教育部颁布的中等职业学校思想政治、语文、历史课程标准</w:t>
            </w:r>
          </w:p>
        </w:tc>
      </w:tr>
      <w:tr w14:paraId="4C5B3A1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362" w:type="dxa"/>
            <w:noWrap w:val="0"/>
            <w:vAlign w:val="center"/>
          </w:tcPr>
          <w:p w14:paraId="6483940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6</w:t>
            </w:r>
          </w:p>
        </w:tc>
        <w:tc>
          <w:tcPr>
            <w:tcW w:w="510" w:type="dxa"/>
            <w:noWrap w:val="0"/>
            <w:vAlign w:val="center"/>
          </w:tcPr>
          <w:p w14:paraId="05CD0F7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心理健康与职业生涯</w:t>
            </w:r>
          </w:p>
        </w:tc>
        <w:tc>
          <w:tcPr>
            <w:tcW w:w="600" w:type="dxa"/>
            <w:noWrap w:val="0"/>
            <w:vAlign w:val="center"/>
          </w:tcPr>
          <w:p w14:paraId="2739EB0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2/36</w:t>
            </w:r>
          </w:p>
        </w:tc>
        <w:tc>
          <w:tcPr>
            <w:tcW w:w="3052" w:type="dxa"/>
            <w:noWrap w:val="0"/>
            <w:vAlign w:val="center"/>
          </w:tcPr>
          <w:p w14:paraId="2E308A3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基于社会发展对中职学生心理素质、职业生涯发展提出的新要求以及心理和谐、职业成才的培养目标，阐释心理健康知识，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p w14:paraId="5627296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p>
        </w:tc>
        <w:tc>
          <w:tcPr>
            <w:tcW w:w="2539" w:type="dxa"/>
            <w:noWrap w:val="0"/>
            <w:vAlign w:val="center"/>
          </w:tcPr>
          <w:p w14:paraId="0403F0E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1.立足时代 志存高远</w:t>
            </w:r>
          </w:p>
          <w:p w14:paraId="38367C4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2.生涯规划 筑梦未来</w:t>
            </w:r>
          </w:p>
          <w:p w14:paraId="7B818FB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3.发现自我 完善自我</w:t>
            </w:r>
          </w:p>
          <w:p w14:paraId="72D372F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4.直面挫折 积极应对</w:t>
            </w:r>
          </w:p>
          <w:p w14:paraId="2A38CD4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5.认识情绪 管理情绪</w:t>
            </w:r>
          </w:p>
          <w:p w14:paraId="2D3FD8D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6.呵护花季 激扬青春</w:t>
            </w:r>
          </w:p>
          <w:p w14:paraId="3ABA3AA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7.珍视亲情 学会感恩</w:t>
            </w:r>
          </w:p>
          <w:p w14:paraId="70512D0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8.良师相伴 亦师亦友</w:t>
            </w:r>
          </w:p>
          <w:p w14:paraId="260EF9D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9.友好相处 学会合作</w:t>
            </w:r>
          </w:p>
          <w:p w14:paraId="7A9FE2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10.和谐校园 共同维护</w:t>
            </w:r>
          </w:p>
          <w:p w14:paraId="56C8AFD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11.主动学习 高效学习</w:t>
            </w:r>
          </w:p>
          <w:p w14:paraId="5333431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12.终身学习 持续发展</w:t>
            </w:r>
          </w:p>
          <w:p w14:paraId="7CF4DD0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13.立足专业 谋划发展</w:t>
            </w:r>
          </w:p>
          <w:p w14:paraId="0AE10D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14.执行规划 夯实基础</w:t>
            </w:r>
          </w:p>
          <w:p w14:paraId="313400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15.完善规划 奋发有为</w:t>
            </w:r>
          </w:p>
          <w:p w14:paraId="46AB639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p>
        </w:tc>
        <w:tc>
          <w:tcPr>
            <w:tcW w:w="1789" w:type="dxa"/>
            <w:noWrap w:val="0"/>
            <w:vAlign w:val="center"/>
          </w:tcPr>
          <w:p w14:paraId="19FC36D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坚持立德树人根本任务，贴合中职生身心发展特点和职业成长需求。采用启发式、案例式、体验式教学，融入课本案例和实践活动，引导学生自主思考、合作探究。注重心理健康素养培育和生涯规划能力提升，强化价值引领，理论联系实际，帮助学生将所学知识运用到生活和职业规划中，实现心理健康成长与职业素养提升的有机结合。</w:t>
            </w:r>
          </w:p>
        </w:tc>
        <w:tc>
          <w:tcPr>
            <w:tcW w:w="1225" w:type="dxa"/>
            <w:noWrap w:val="0"/>
            <w:vAlign w:val="center"/>
          </w:tcPr>
          <w:p w14:paraId="6E37783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参照《中共教育部党组关于印发&lt;中等职业学校学生心理健康教育指导纲要&gt;的通知》（教职成〔2004〕8号）</w:t>
            </w:r>
          </w:p>
        </w:tc>
      </w:tr>
      <w:tr w14:paraId="290B3E4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456" w:hRule="atLeast"/>
          <w:jc w:val="center"/>
        </w:trPr>
        <w:tc>
          <w:tcPr>
            <w:tcW w:w="362" w:type="dxa"/>
            <w:noWrap w:val="0"/>
            <w:vAlign w:val="center"/>
          </w:tcPr>
          <w:p w14:paraId="0CFDF78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p>
          <w:p w14:paraId="6C09329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p>
          <w:p w14:paraId="26F47FE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p>
          <w:p w14:paraId="5C04C60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p>
          <w:p w14:paraId="563CAC5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p>
          <w:p w14:paraId="7FD5B07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p>
          <w:p w14:paraId="5F78F22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7</w:t>
            </w:r>
          </w:p>
        </w:tc>
        <w:tc>
          <w:tcPr>
            <w:tcW w:w="510" w:type="dxa"/>
            <w:noWrap w:val="0"/>
            <w:vAlign w:val="center"/>
          </w:tcPr>
          <w:p w14:paraId="01F4A57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p>
          <w:p w14:paraId="3886F9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p>
          <w:p w14:paraId="3C230DA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p>
          <w:p w14:paraId="0554FD1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p>
          <w:p w14:paraId="71199FB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p>
          <w:p w14:paraId="51EC2AF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哲学与人生</w:t>
            </w:r>
          </w:p>
        </w:tc>
        <w:tc>
          <w:tcPr>
            <w:tcW w:w="600" w:type="dxa"/>
            <w:noWrap w:val="0"/>
            <w:vAlign w:val="center"/>
          </w:tcPr>
          <w:p w14:paraId="760338E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2/36</w:t>
            </w:r>
          </w:p>
        </w:tc>
        <w:tc>
          <w:tcPr>
            <w:tcW w:w="3052" w:type="dxa"/>
            <w:noWrap w:val="0"/>
            <w:vAlign w:val="center"/>
          </w:tcPr>
          <w:p w14:paraId="6B46AAC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zh-CN" w:eastAsia="zh-CN"/>
              </w:rPr>
              <w:t>本课程</w:t>
            </w:r>
            <w:r>
              <w:rPr>
                <w:rFonts w:hint="eastAsia" w:asciiTheme="minorEastAsia" w:hAnsiTheme="minorEastAsia" w:eastAsiaTheme="minorEastAsia" w:cstheme="minorEastAsia"/>
                <w:sz w:val="24"/>
                <w:szCs w:val="24"/>
                <w:lang w:val="en-US" w:eastAsia="zh-CN"/>
              </w:rPr>
              <w:t>阐明马克思主义哲学是科学的世界观和方法论，讲述辩证唯物主义和历史唯物主义基本观点及其对人生成长的意义；阐述社会生活及个人成长中进行正确价值判断和行为选择的意义；引导学生弘扬和践行社会主义核心价值观，为学生成长奠定正确的世界观、人生观和价值观基础。</w:t>
            </w:r>
          </w:p>
          <w:p w14:paraId="71DAF2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p>
        </w:tc>
        <w:tc>
          <w:tcPr>
            <w:tcW w:w="2539" w:type="dxa"/>
            <w:noWrap w:val="0"/>
            <w:vAlign w:val="center"/>
          </w:tcPr>
          <w:p w14:paraId="3EABEF9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1.时代精神的精华</w:t>
            </w:r>
          </w:p>
          <w:p w14:paraId="623195B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2.树立科学的世界观</w:t>
            </w:r>
          </w:p>
          <w:p w14:paraId="694D428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3.追求人生理想</w:t>
            </w:r>
          </w:p>
          <w:p w14:paraId="3F3BB52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4.用联系的观点看问题</w:t>
            </w:r>
          </w:p>
          <w:p w14:paraId="13A593B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5.用发展的观点看问题</w:t>
            </w:r>
          </w:p>
          <w:p w14:paraId="38FD40F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6.用对立统一的观点看问题</w:t>
            </w:r>
          </w:p>
          <w:p w14:paraId="62C91CA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7.实践出真知</w:t>
            </w:r>
          </w:p>
          <w:p w14:paraId="6E44889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8.在实践中提高认识能力</w:t>
            </w:r>
          </w:p>
          <w:p w14:paraId="51ECFC2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9.创新增才干</w:t>
            </w:r>
          </w:p>
          <w:p w14:paraId="2250D19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10.人类社会及其发展规律</w:t>
            </w:r>
          </w:p>
          <w:p w14:paraId="7E652F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11.社会历史的主体</w:t>
            </w:r>
          </w:p>
          <w:p w14:paraId="0E76CFF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12.实现人生价值</w:t>
            </w:r>
          </w:p>
          <w:p w14:paraId="5570E90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p>
        </w:tc>
        <w:tc>
          <w:tcPr>
            <w:tcW w:w="1789" w:type="dxa"/>
            <w:noWrap w:val="0"/>
            <w:vAlign w:val="center"/>
          </w:tcPr>
          <w:p w14:paraId="15A25EF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立足教学内容，紧扣唯物论、辩证法、认识论与唯物史观核心知识，结合中职生成长与职业发展实际开展教学。采用案例分析、课堂思辨、实践探究等方式，引导学生理解并运用哲学观点看待问题、解决困惑。强化价值引领与思维训练，帮助学生树立科学三观，将哲学智慧融入学习生活与职业规划，做到知行合一，提升辩证思维与实践能力。</w:t>
            </w:r>
          </w:p>
        </w:tc>
        <w:tc>
          <w:tcPr>
            <w:tcW w:w="1225" w:type="dxa"/>
            <w:noWrap w:val="0"/>
            <w:vAlign w:val="center"/>
          </w:tcPr>
          <w:p w14:paraId="39F2433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参照教育部颁布的中等职业学校思想政治、语文、历史课程标准</w:t>
            </w:r>
          </w:p>
        </w:tc>
      </w:tr>
      <w:tr w14:paraId="59439DA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2256" w:hRule="atLeast"/>
          <w:jc w:val="center"/>
        </w:trPr>
        <w:tc>
          <w:tcPr>
            <w:tcW w:w="362" w:type="dxa"/>
            <w:noWrap w:val="0"/>
            <w:vAlign w:val="center"/>
          </w:tcPr>
          <w:p w14:paraId="1AC41EF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8</w:t>
            </w:r>
          </w:p>
        </w:tc>
        <w:tc>
          <w:tcPr>
            <w:tcW w:w="510" w:type="dxa"/>
            <w:noWrap w:val="0"/>
            <w:vAlign w:val="center"/>
          </w:tcPr>
          <w:p w14:paraId="36CA106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职业道德与法治</w:t>
            </w:r>
          </w:p>
        </w:tc>
        <w:tc>
          <w:tcPr>
            <w:tcW w:w="600" w:type="dxa"/>
            <w:noWrap w:val="0"/>
            <w:vAlign w:val="center"/>
          </w:tcPr>
          <w:p w14:paraId="3BC82F1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2/36</w:t>
            </w:r>
          </w:p>
        </w:tc>
        <w:tc>
          <w:tcPr>
            <w:tcW w:w="3052" w:type="dxa"/>
            <w:noWrap w:val="0"/>
            <w:vAlign w:val="center"/>
          </w:tcPr>
          <w:p w14:paraId="6E8EC8A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本课程着眼于提高中职学生的职业道德素质和法治素养，对学生进行职业道德和法治教育。帮助学生理解全面依法治国的总目标和基本要求，了解职业道德和法律规范，增强职业道德和法治意识，养成爱岗敬业、依法办事的思维方式和行为习惯。</w:t>
            </w:r>
          </w:p>
          <w:p w14:paraId="76DAC35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p>
        </w:tc>
        <w:tc>
          <w:tcPr>
            <w:tcW w:w="2539" w:type="dxa"/>
            <w:noWrap w:val="0"/>
            <w:vAlign w:val="center"/>
          </w:tcPr>
          <w:p w14:paraId="0908D6D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val="zh-CN" w:eastAsia="zh-CN"/>
              </w:rPr>
              <w:t>追求向上向善的道德</w:t>
            </w:r>
          </w:p>
          <w:p w14:paraId="365ED53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让美德照亮幸福人生</w:t>
            </w:r>
          </w:p>
          <w:p w14:paraId="17ACFAD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增强职业道德意识</w:t>
            </w:r>
          </w:p>
          <w:p w14:paraId="61B1BD0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val="zh-CN" w:eastAsia="zh-CN"/>
              </w:rPr>
              <w:t>在工作中做合格建设者</w:t>
            </w:r>
          </w:p>
          <w:p w14:paraId="5807C6A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val="zh-CN" w:eastAsia="zh-CN"/>
              </w:rPr>
              <w:t>弘扬劳动精神、劳模精神、工匠精神</w:t>
            </w:r>
          </w:p>
          <w:p w14:paraId="56984A7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val="zh-CN" w:eastAsia="zh-CN"/>
              </w:rPr>
              <w:t>提升职业道德境界</w:t>
            </w:r>
          </w:p>
          <w:p w14:paraId="35F8AC3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val="zh-CN" w:eastAsia="zh-CN"/>
              </w:rPr>
              <w:t>中国特色社会主义法治道路</w:t>
            </w:r>
          </w:p>
          <w:p w14:paraId="617CB71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val="zh-CN" w:eastAsia="zh-CN"/>
              </w:rPr>
              <w:t>建设法治中国</w:t>
            </w:r>
          </w:p>
          <w:p w14:paraId="7ECFB23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lang w:val="zh-CN" w:eastAsia="zh-CN"/>
              </w:rPr>
              <w:t>坚持依宪治国</w:t>
            </w:r>
          </w:p>
          <w:p w14:paraId="33AC9FE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lang w:val="zh-CN" w:eastAsia="zh-CN"/>
              </w:rPr>
              <w:t>养成遵纪守法好习惯</w:t>
            </w:r>
          </w:p>
          <w:p w14:paraId="7D9F3E4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lang w:val="zh-CN" w:eastAsia="zh-CN"/>
              </w:rPr>
              <w:t>依法从事民事活动</w:t>
            </w:r>
          </w:p>
          <w:p w14:paraId="26BE088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lang w:val="zh-CN" w:eastAsia="zh-CN"/>
              </w:rPr>
              <w:t>自觉抵制犯罪</w:t>
            </w:r>
          </w:p>
          <w:p w14:paraId="45D05A3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13.</w:t>
            </w:r>
            <w:r>
              <w:rPr>
                <w:rFonts w:hint="eastAsia" w:asciiTheme="minorEastAsia" w:hAnsiTheme="minorEastAsia" w:eastAsiaTheme="minorEastAsia" w:cstheme="minorEastAsia"/>
                <w:sz w:val="24"/>
                <w:szCs w:val="24"/>
                <w:lang w:val="zh-CN" w:eastAsia="zh-CN"/>
              </w:rPr>
              <w:t>学会依法维权</w:t>
            </w:r>
          </w:p>
          <w:p w14:paraId="1CF3193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p>
        </w:tc>
        <w:tc>
          <w:tcPr>
            <w:tcW w:w="1789" w:type="dxa"/>
            <w:noWrap w:val="0"/>
            <w:vAlign w:val="center"/>
          </w:tcPr>
          <w:p w14:paraId="0585E0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紧扣道德修养、职业道德、法治教育核心教学内容，贴合中职生职业场景开展教学。采用案例剖析、情境模拟、实践体验等方式，引导学生感悟道德内涵、践行美德规范。立足职业岗位理解职业道德要求。围绕</w:t>
            </w:r>
            <w:r>
              <w:rPr>
                <w:rFonts w:hint="eastAsia" w:asciiTheme="minorEastAsia" w:hAnsiTheme="minorEastAsia" w:eastAsiaTheme="minorEastAsia" w:cstheme="minorEastAsia"/>
                <w:sz w:val="24"/>
                <w:szCs w:val="24"/>
                <w:lang w:val="en-US" w:eastAsia="zh-CN"/>
              </w:rPr>
              <w:t>教学</w:t>
            </w:r>
            <w:r>
              <w:rPr>
                <w:rFonts w:hint="eastAsia" w:asciiTheme="minorEastAsia" w:hAnsiTheme="minorEastAsia" w:eastAsiaTheme="minorEastAsia" w:cstheme="minorEastAsia"/>
                <w:sz w:val="24"/>
                <w:szCs w:val="24"/>
                <w:lang w:val="zh-CN" w:eastAsia="zh-CN"/>
              </w:rPr>
              <w:t>内容，强化法治认知与实践能力，</w:t>
            </w:r>
            <w:r>
              <w:rPr>
                <w:rFonts w:hint="eastAsia" w:asciiTheme="minorEastAsia" w:hAnsiTheme="minorEastAsia" w:eastAsiaTheme="minorEastAsia" w:cstheme="minorEastAsia"/>
                <w:sz w:val="24"/>
                <w:szCs w:val="24"/>
                <w:lang w:val="en-US" w:eastAsia="zh-CN"/>
              </w:rPr>
              <w:t>弘扬三种精神</w:t>
            </w:r>
            <w:r>
              <w:rPr>
                <w:rFonts w:hint="eastAsia" w:asciiTheme="minorEastAsia" w:hAnsiTheme="minorEastAsia" w:eastAsiaTheme="minorEastAsia" w:cstheme="minorEastAsia"/>
                <w:sz w:val="24"/>
                <w:szCs w:val="24"/>
                <w:lang w:val="zh-CN" w:eastAsia="zh-CN"/>
              </w:rPr>
              <w:t>。坚持德法相融、学用结合，注重价值引领与行为养成，推动学生将道德准则、职业操守、法治要求转化为日常自觉行为。</w:t>
            </w:r>
          </w:p>
        </w:tc>
        <w:tc>
          <w:tcPr>
            <w:tcW w:w="1225" w:type="dxa"/>
            <w:noWrap w:val="0"/>
            <w:vAlign w:val="center"/>
          </w:tcPr>
          <w:p w14:paraId="6499E57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参照教育部颁布的中等职业学校思想政治、语文、历史课程标准</w:t>
            </w:r>
          </w:p>
        </w:tc>
      </w:tr>
      <w:tr w14:paraId="5129EB9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362" w:type="dxa"/>
            <w:noWrap w:val="0"/>
            <w:vAlign w:val="center"/>
          </w:tcPr>
          <w:p w14:paraId="69C36DA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99</w:t>
            </w:r>
          </w:p>
        </w:tc>
        <w:tc>
          <w:tcPr>
            <w:tcW w:w="510" w:type="dxa"/>
            <w:noWrap w:val="0"/>
            <w:vAlign w:val="center"/>
          </w:tcPr>
          <w:p w14:paraId="3EB0159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rPr>
              <w:t>历</w:t>
            </w:r>
            <w:r>
              <w:rPr>
                <w:rFonts w:hint="eastAsia" w:asciiTheme="minorEastAsia" w:hAnsiTheme="minorEastAsia" w:eastAsiaTheme="minorEastAsia" w:cstheme="minorEastAsia"/>
                <w:sz w:val="24"/>
                <w:szCs w:val="24"/>
                <w:lang w:val="en-US" w:eastAsia="zh-CN"/>
              </w:rPr>
              <w:t>历史</w:t>
            </w:r>
          </w:p>
        </w:tc>
        <w:tc>
          <w:tcPr>
            <w:tcW w:w="600" w:type="dxa"/>
            <w:noWrap w:val="0"/>
            <w:vAlign w:val="center"/>
          </w:tcPr>
          <w:p w14:paraId="1F3FB04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4/72</w:t>
            </w:r>
          </w:p>
        </w:tc>
        <w:tc>
          <w:tcPr>
            <w:tcW w:w="3052" w:type="dxa"/>
            <w:noWrap w:val="0"/>
            <w:vAlign w:val="center"/>
          </w:tcPr>
          <w:p w14:paraId="3142CE4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本课程使学生进一步了解人类社会发展的基本脉络和优秀文化传统；从历史的角度思考人与人、人与社会、人与自然的关系，增强历史使命感和社会责任感；培育社会主义核心价值观，进一步弘扬以爱国主义为核心的民族精神和以改革创新为核心的时代精神；培养健全的人格，树立正确的历史观、人生观、价值观，为中等职业学校学生未来的学习、工作、生活打下基础。</w:t>
            </w:r>
          </w:p>
        </w:tc>
        <w:tc>
          <w:tcPr>
            <w:tcW w:w="2539" w:type="dxa"/>
            <w:noWrap w:val="0"/>
            <w:vAlign w:val="center"/>
          </w:tcPr>
          <w:p w14:paraId="4B5C62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1.基础性、关键性、典型性的史事，达到所选知识的科学性和思想性</w:t>
            </w:r>
          </w:p>
          <w:p w14:paraId="04174E5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2．立足于</w:t>
            </w:r>
            <w:r>
              <w:rPr>
                <w:rFonts w:hint="eastAsia" w:asciiTheme="minorEastAsia" w:hAnsiTheme="minorEastAsia" w:eastAsiaTheme="minorEastAsia" w:cstheme="minorEastAsia"/>
                <w:sz w:val="24"/>
                <w:szCs w:val="24"/>
                <w:lang w:val="zh-CN" w:eastAsia="zh-CN"/>
              </w:rPr>
              <w:fldChar w:fldCharType="begin"/>
            </w:r>
            <w:r>
              <w:rPr>
                <w:rFonts w:hint="eastAsia" w:asciiTheme="minorEastAsia" w:hAnsiTheme="minorEastAsia" w:eastAsiaTheme="minorEastAsia" w:cstheme="minorEastAsia"/>
                <w:sz w:val="24"/>
                <w:szCs w:val="24"/>
                <w:lang w:val="zh-CN" w:eastAsia="zh-CN"/>
              </w:rPr>
              <w:instrText xml:space="preserve"> HYPERLINK "https://baike.baidu.com/item/%E4%B8%AD%E7%AD%89%E8%81%8C%E4%B8%9A%E6%95%99%E8%82%B2/1152680" \t "/Users/wangmin/Documentsx/_blank" </w:instrText>
            </w:r>
            <w:r>
              <w:rPr>
                <w:rFonts w:hint="eastAsia" w:asciiTheme="minorEastAsia" w:hAnsiTheme="minorEastAsia" w:eastAsiaTheme="minorEastAsia" w:cstheme="minorEastAsia"/>
                <w:sz w:val="24"/>
                <w:szCs w:val="24"/>
                <w:lang w:val="zh-CN" w:eastAsia="zh-CN"/>
              </w:rPr>
              <w:fldChar w:fldCharType="separate"/>
            </w:r>
            <w:r>
              <w:rPr>
                <w:rFonts w:hint="eastAsia" w:asciiTheme="minorEastAsia" w:hAnsiTheme="minorEastAsia" w:eastAsiaTheme="minorEastAsia" w:cstheme="minorEastAsia"/>
                <w:sz w:val="24"/>
                <w:szCs w:val="24"/>
                <w:lang w:val="zh-CN" w:eastAsia="zh-CN"/>
              </w:rPr>
              <w:t>中等职业教育</w:t>
            </w:r>
            <w:r>
              <w:rPr>
                <w:rFonts w:hint="eastAsia" w:asciiTheme="minorEastAsia" w:hAnsiTheme="minorEastAsia" w:eastAsiaTheme="minorEastAsia" w:cstheme="minorEastAsia"/>
                <w:sz w:val="24"/>
                <w:szCs w:val="24"/>
                <w:lang w:val="zh-CN" w:eastAsia="zh-CN"/>
              </w:rPr>
              <w:fldChar w:fldCharType="end"/>
            </w:r>
            <w:r>
              <w:rPr>
                <w:rFonts w:hint="eastAsia" w:asciiTheme="minorEastAsia" w:hAnsiTheme="minorEastAsia" w:eastAsiaTheme="minorEastAsia" w:cstheme="minorEastAsia"/>
                <w:sz w:val="24"/>
                <w:szCs w:val="24"/>
                <w:lang w:val="zh-CN" w:eastAsia="zh-CN"/>
              </w:rPr>
              <w:t>历史课程核心素养的五个方面(唯物史观、时空观念、史料实证、历史阐释、家国情怀)，展现中国历史画卷</w:t>
            </w:r>
          </w:p>
        </w:tc>
        <w:tc>
          <w:tcPr>
            <w:tcW w:w="1789" w:type="dxa"/>
            <w:noWrap w:val="0"/>
            <w:vAlign w:val="center"/>
          </w:tcPr>
          <w:p w14:paraId="2E1D3EA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在“理论教学+课堂互动+探究拓展”的教学模式中，采用课堂讲授、实践教学、网络教学、自主学习等相结合的方式实施教学。</w:t>
            </w:r>
          </w:p>
        </w:tc>
        <w:tc>
          <w:tcPr>
            <w:tcW w:w="1225" w:type="dxa"/>
            <w:noWrap w:val="0"/>
            <w:vAlign w:val="center"/>
          </w:tcPr>
          <w:p w14:paraId="3B73C5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参照教育部颁布的中等职业学校思想政治、语文、历史课程标准。</w:t>
            </w:r>
          </w:p>
        </w:tc>
      </w:tr>
      <w:tr w14:paraId="14258A6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23" w:hRule="atLeast"/>
          <w:jc w:val="center"/>
        </w:trPr>
        <w:tc>
          <w:tcPr>
            <w:tcW w:w="362" w:type="dxa"/>
            <w:noWrap w:val="0"/>
            <w:vAlign w:val="center"/>
          </w:tcPr>
          <w:p w14:paraId="1F70CFE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110</w:t>
            </w:r>
          </w:p>
        </w:tc>
        <w:tc>
          <w:tcPr>
            <w:tcW w:w="510" w:type="dxa"/>
            <w:noWrap w:val="0"/>
            <w:vAlign w:val="center"/>
          </w:tcPr>
          <w:p w14:paraId="256A177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语</w:t>
            </w:r>
            <w:r>
              <w:rPr>
                <w:rFonts w:hint="eastAsia" w:asciiTheme="minorEastAsia" w:hAnsiTheme="minorEastAsia" w:eastAsiaTheme="minorEastAsia" w:cstheme="minorEastAsia"/>
                <w:sz w:val="24"/>
                <w:szCs w:val="24"/>
                <w:lang w:val="en-US" w:eastAsia="zh-CN"/>
              </w:rPr>
              <w:t>语</w:t>
            </w:r>
            <w:r>
              <w:rPr>
                <w:rFonts w:hint="eastAsia" w:asciiTheme="minorEastAsia" w:hAnsiTheme="minorEastAsia" w:eastAsiaTheme="minorEastAsia" w:cstheme="minorEastAsia"/>
                <w:sz w:val="24"/>
                <w:szCs w:val="24"/>
                <w:lang w:val="zh-CN"/>
              </w:rPr>
              <w:t>文</w:t>
            </w:r>
          </w:p>
        </w:tc>
        <w:tc>
          <w:tcPr>
            <w:tcW w:w="600" w:type="dxa"/>
            <w:noWrap w:val="0"/>
            <w:vAlign w:val="center"/>
          </w:tcPr>
          <w:p w14:paraId="5005202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lang w:val="zh-CN"/>
              </w:rPr>
              <w:t>/</w:t>
            </w:r>
          </w:p>
          <w:p w14:paraId="5A0C08B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198</w:t>
            </w:r>
          </w:p>
        </w:tc>
        <w:tc>
          <w:tcPr>
            <w:tcW w:w="3052" w:type="dxa"/>
            <w:noWrap w:val="0"/>
            <w:vAlign w:val="center"/>
          </w:tcPr>
          <w:p w14:paraId="05F176F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本课程在初中语文的基础上，进一步加强现代文和文言文阅读训练，提高学生阅读现代文和浅易文言文的能力；加强文学作品阅读教学，培养学生欣赏文学作品的能力；加强写作和口语交际训练，提高学生应用文写作能力和日常口语交际水平。通过课内外的教学活动，使学生进一步巩固和扩展必需的语文基础知识，养成自学和运用语文的良好习惯，接受优秀文化熏陶，形成高尚的审美情趣</w:t>
            </w:r>
          </w:p>
        </w:tc>
        <w:tc>
          <w:tcPr>
            <w:tcW w:w="2539" w:type="dxa"/>
            <w:noWrap w:val="0"/>
            <w:vAlign w:val="center"/>
          </w:tcPr>
          <w:p w14:paraId="42F5E2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1.阅读与欣赏</w:t>
            </w:r>
          </w:p>
          <w:p w14:paraId="5F67FE5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2.表达与交流</w:t>
            </w:r>
          </w:p>
          <w:p w14:paraId="72E4BB1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3.写作</w:t>
            </w:r>
          </w:p>
          <w:p w14:paraId="6227843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4.语言综合实践活动</w:t>
            </w:r>
          </w:p>
        </w:tc>
        <w:tc>
          <w:tcPr>
            <w:tcW w:w="1789" w:type="dxa"/>
            <w:noWrap w:val="0"/>
            <w:vAlign w:val="center"/>
          </w:tcPr>
          <w:p w14:paraId="61AD4F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在“理论教学+智慧课堂+探究拓展”的教学模式中，采用课堂讲授、讲练结合、慕课辅助、软件实训、自主学习等相结合的方式实施教学</w:t>
            </w:r>
          </w:p>
        </w:tc>
        <w:tc>
          <w:tcPr>
            <w:tcW w:w="1225" w:type="dxa"/>
            <w:noWrap w:val="0"/>
            <w:vAlign w:val="center"/>
          </w:tcPr>
          <w:p w14:paraId="6506ED3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参照教育部颁布的中等职业学校思想政治、语文、历史课程标准</w:t>
            </w:r>
          </w:p>
        </w:tc>
      </w:tr>
      <w:tr w14:paraId="5158B58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552" w:hRule="atLeast"/>
          <w:jc w:val="center"/>
        </w:trPr>
        <w:tc>
          <w:tcPr>
            <w:tcW w:w="362" w:type="dxa"/>
            <w:noWrap w:val="0"/>
            <w:vAlign w:val="center"/>
          </w:tcPr>
          <w:p w14:paraId="4495271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111</w:t>
            </w:r>
          </w:p>
        </w:tc>
        <w:tc>
          <w:tcPr>
            <w:tcW w:w="510" w:type="dxa"/>
            <w:noWrap w:val="0"/>
            <w:vAlign w:val="center"/>
          </w:tcPr>
          <w:p w14:paraId="7D12801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数</w:t>
            </w:r>
            <w:r>
              <w:rPr>
                <w:rFonts w:hint="eastAsia" w:asciiTheme="minorEastAsia" w:hAnsiTheme="minorEastAsia" w:eastAsiaTheme="minorEastAsia" w:cstheme="minorEastAsia"/>
                <w:sz w:val="24"/>
                <w:szCs w:val="24"/>
                <w:lang w:val="en-US" w:eastAsia="zh-CN"/>
              </w:rPr>
              <w:t>数</w:t>
            </w:r>
            <w:r>
              <w:rPr>
                <w:rFonts w:hint="eastAsia" w:asciiTheme="minorEastAsia" w:hAnsiTheme="minorEastAsia" w:eastAsiaTheme="minorEastAsia" w:cstheme="minorEastAsia"/>
                <w:sz w:val="24"/>
                <w:szCs w:val="24"/>
                <w:lang w:val="zh-CN"/>
              </w:rPr>
              <w:t>学</w:t>
            </w:r>
          </w:p>
        </w:tc>
        <w:tc>
          <w:tcPr>
            <w:tcW w:w="600" w:type="dxa"/>
            <w:noWrap w:val="0"/>
            <w:vAlign w:val="center"/>
          </w:tcPr>
          <w:p w14:paraId="1BD7001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zh-CN"/>
              </w:rPr>
              <w:t>/</w:t>
            </w:r>
          </w:p>
          <w:p w14:paraId="3EBE545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1</w:t>
            </w:r>
            <w:r>
              <w:rPr>
                <w:rFonts w:hint="eastAsia" w:asciiTheme="minorEastAsia" w:hAnsiTheme="minorEastAsia" w:eastAsiaTheme="minorEastAsia" w:cstheme="minorEastAsia"/>
                <w:sz w:val="24"/>
                <w:szCs w:val="24"/>
              </w:rPr>
              <w:t>44</w:t>
            </w:r>
          </w:p>
        </w:tc>
        <w:tc>
          <w:tcPr>
            <w:tcW w:w="3052" w:type="dxa"/>
            <w:noWrap w:val="0"/>
            <w:vAlign w:val="center"/>
          </w:tcPr>
          <w:p w14:paraId="321AB2D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本课程的总目标是通过在中等职业教育阶段的学习，使学生能够获得相关专业课及后继发展所必需的基础数学知识，掌握基本的数学思想方法和必要的应用技能；使学生学会用数学的</w:t>
            </w:r>
          </w:p>
          <w:p w14:paraId="0035517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思维方式去观察、分析现实社会，去解决学习、生活、工作中遇到的实际问题；使学生具有一定的创新精神和解决问题能力</w:t>
            </w:r>
          </w:p>
        </w:tc>
        <w:tc>
          <w:tcPr>
            <w:tcW w:w="2539" w:type="dxa"/>
            <w:noWrap w:val="0"/>
            <w:vAlign w:val="center"/>
          </w:tcPr>
          <w:p w14:paraId="30F70B5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1.基础知识</w:t>
            </w:r>
          </w:p>
          <w:p w14:paraId="4E6C87D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2.集合与逻辑用语</w:t>
            </w:r>
          </w:p>
          <w:p w14:paraId="7C6ABD6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3.函数与数列</w:t>
            </w:r>
          </w:p>
          <w:p w14:paraId="605FB5E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4.三角函数</w:t>
            </w:r>
          </w:p>
          <w:p w14:paraId="255ADD6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5.向量与复数</w:t>
            </w:r>
          </w:p>
          <w:p w14:paraId="1551006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6.立体几何与解析几何</w:t>
            </w:r>
          </w:p>
          <w:p w14:paraId="7A4282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7.概率与统计初步</w:t>
            </w:r>
          </w:p>
          <w:p w14:paraId="740FC9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8.微积分初步</w:t>
            </w:r>
          </w:p>
        </w:tc>
        <w:tc>
          <w:tcPr>
            <w:tcW w:w="1789" w:type="dxa"/>
            <w:noWrap w:val="0"/>
            <w:vAlign w:val="center"/>
          </w:tcPr>
          <w:p w14:paraId="4846F43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在“理论教学+智慧课堂+探究拓展”的教学模式中，采用课堂讲授、讲练结合、慕课辅助、软件实训、自主学习等相结合的方式实施教学</w:t>
            </w:r>
          </w:p>
        </w:tc>
        <w:tc>
          <w:tcPr>
            <w:tcW w:w="1225" w:type="dxa"/>
            <w:noWrap w:val="0"/>
            <w:vAlign w:val="center"/>
          </w:tcPr>
          <w:p w14:paraId="6384C79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参照中等职业教育数学课程教学基本要求</w:t>
            </w:r>
          </w:p>
        </w:tc>
      </w:tr>
      <w:tr w14:paraId="01C5743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364" w:hRule="atLeast"/>
          <w:jc w:val="center"/>
        </w:trPr>
        <w:tc>
          <w:tcPr>
            <w:tcW w:w="362" w:type="dxa"/>
            <w:noWrap w:val="0"/>
            <w:vAlign w:val="center"/>
          </w:tcPr>
          <w:p w14:paraId="6CAFBE8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112</w:t>
            </w:r>
          </w:p>
        </w:tc>
        <w:tc>
          <w:tcPr>
            <w:tcW w:w="510" w:type="dxa"/>
            <w:noWrap w:val="0"/>
            <w:vAlign w:val="center"/>
          </w:tcPr>
          <w:p w14:paraId="5B5D4A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英</w:t>
            </w:r>
            <w:r>
              <w:rPr>
                <w:rFonts w:hint="eastAsia" w:asciiTheme="minorEastAsia" w:hAnsiTheme="minorEastAsia" w:eastAsiaTheme="minorEastAsia" w:cstheme="minorEastAsia"/>
                <w:sz w:val="24"/>
                <w:szCs w:val="24"/>
                <w:lang w:val="en-US" w:eastAsia="zh-CN"/>
              </w:rPr>
              <w:t>英</w:t>
            </w:r>
            <w:r>
              <w:rPr>
                <w:rFonts w:hint="eastAsia" w:asciiTheme="minorEastAsia" w:hAnsiTheme="minorEastAsia" w:eastAsiaTheme="minorEastAsia" w:cstheme="minorEastAsia"/>
                <w:sz w:val="24"/>
                <w:szCs w:val="24"/>
                <w:lang w:val="zh-CN"/>
              </w:rPr>
              <w:t>语</w:t>
            </w:r>
          </w:p>
        </w:tc>
        <w:tc>
          <w:tcPr>
            <w:tcW w:w="600" w:type="dxa"/>
            <w:noWrap w:val="0"/>
            <w:vAlign w:val="center"/>
          </w:tcPr>
          <w:p w14:paraId="763977F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zh-CN"/>
              </w:rPr>
              <w:t>/</w:t>
            </w:r>
          </w:p>
          <w:p w14:paraId="025D076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1</w:t>
            </w:r>
            <w:r>
              <w:rPr>
                <w:rFonts w:hint="eastAsia" w:asciiTheme="minorEastAsia" w:hAnsiTheme="minorEastAsia" w:eastAsiaTheme="minorEastAsia" w:cstheme="minorEastAsia"/>
                <w:sz w:val="24"/>
                <w:szCs w:val="24"/>
              </w:rPr>
              <w:t>44</w:t>
            </w:r>
          </w:p>
        </w:tc>
        <w:tc>
          <w:tcPr>
            <w:tcW w:w="3052" w:type="dxa"/>
            <w:noWrap w:val="0"/>
            <w:vAlign w:val="center"/>
          </w:tcPr>
          <w:p w14:paraId="1E4A16D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本课程培养学生在职场环境下运用英语的基本能力，提高学生的综合文化素养和跨文化交际意识，培养学生的学习兴趣和自主学习能力，使学生掌握有效的学习方法和学习策略，为提升学生的就业竞争力及未来的可持续发展打下必要的基础</w:t>
            </w:r>
          </w:p>
        </w:tc>
        <w:tc>
          <w:tcPr>
            <w:tcW w:w="2539" w:type="dxa"/>
            <w:noWrap w:val="0"/>
            <w:vAlign w:val="center"/>
          </w:tcPr>
          <w:p w14:paraId="1F3034D5">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1.基本常用词汇</w:t>
            </w:r>
          </w:p>
          <w:p w14:paraId="3B446EA3">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2.职场交际中的基本语法</w:t>
            </w:r>
          </w:p>
          <w:p w14:paraId="18C74D77">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3.日常生活用语和与未来职业相关的一般性对话或陈述</w:t>
            </w:r>
          </w:p>
          <w:p w14:paraId="70309C9A">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4.一般题材和与未来职业相关的英文资料的阅读</w:t>
            </w:r>
          </w:p>
          <w:p w14:paraId="26D3C4F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5.常见应用文的写作</w:t>
            </w:r>
          </w:p>
        </w:tc>
        <w:tc>
          <w:tcPr>
            <w:tcW w:w="1789" w:type="dxa"/>
            <w:noWrap w:val="0"/>
            <w:vAlign w:val="center"/>
          </w:tcPr>
          <w:p w14:paraId="3236CCA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以学生为中心，融“教、学、做”为一体的教学理念，注重培养学生的语言应用能力</w:t>
            </w:r>
          </w:p>
        </w:tc>
        <w:tc>
          <w:tcPr>
            <w:tcW w:w="1225" w:type="dxa"/>
            <w:noWrap w:val="0"/>
            <w:vAlign w:val="center"/>
          </w:tcPr>
          <w:p w14:paraId="49704A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参照中等职业教育英语课程教学基本要求</w:t>
            </w:r>
          </w:p>
        </w:tc>
      </w:tr>
      <w:tr w14:paraId="0FA0B503">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412" w:hRule="atLeast"/>
          <w:jc w:val="center"/>
        </w:trPr>
        <w:tc>
          <w:tcPr>
            <w:tcW w:w="362" w:type="dxa"/>
            <w:noWrap w:val="0"/>
            <w:vAlign w:val="center"/>
          </w:tcPr>
          <w:p w14:paraId="5BEC56B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rPr>
              <w:t>1</w:t>
            </w:r>
            <w:r>
              <w:rPr>
                <w:rFonts w:hint="eastAsia" w:asciiTheme="minorEastAsia" w:hAnsiTheme="minorEastAsia" w:eastAsiaTheme="minorEastAsia" w:cstheme="minorEastAsia"/>
                <w:sz w:val="24"/>
                <w:szCs w:val="24"/>
                <w:lang w:val="en-US" w:eastAsia="zh-CN"/>
              </w:rPr>
              <w:t>13</w:t>
            </w:r>
          </w:p>
        </w:tc>
        <w:tc>
          <w:tcPr>
            <w:tcW w:w="510" w:type="dxa"/>
            <w:noWrap w:val="0"/>
            <w:vAlign w:val="center"/>
          </w:tcPr>
          <w:p w14:paraId="5686B1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体</w:t>
            </w:r>
            <w:r>
              <w:rPr>
                <w:rFonts w:hint="eastAsia" w:asciiTheme="minorEastAsia" w:hAnsiTheme="minorEastAsia" w:eastAsiaTheme="minorEastAsia" w:cstheme="minorEastAsia"/>
                <w:sz w:val="24"/>
                <w:szCs w:val="24"/>
                <w:lang w:val="en-US" w:eastAsia="zh-CN"/>
              </w:rPr>
              <w:t>体</w:t>
            </w:r>
            <w:r>
              <w:rPr>
                <w:rFonts w:hint="eastAsia" w:asciiTheme="minorEastAsia" w:hAnsiTheme="minorEastAsia" w:eastAsiaTheme="minorEastAsia" w:cstheme="minorEastAsia"/>
                <w:sz w:val="24"/>
                <w:szCs w:val="24"/>
                <w:lang w:val="zh-CN"/>
              </w:rPr>
              <w:t>育与健康</w:t>
            </w:r>
          </w:p>
        </w:tc>
        <w:tc>
          <w:tcPr>
            <w:tcW w:w="600" w:type="dxa"/>
            <w:noWrap w:val="0"/>
            <w:vAlign w:val="center"/>
          </w:tcPr>
          <w:p w14:paraId="5D37402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zh-CN"/>
              </w:rPr>
              <w:t>/</w:t>
            </w:r>
          </w:p>
          <w:p w14:paraId="1B877C8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1</w:t>
            </w:r>
            <w:r>
              <w:rPr>
                <w:rFonts w:hint="eastAsia" w:asciiTheme="minorEastAsia" w:hAnsiTheme="minorEastAsia" w:eastAsiaTheme="minorEastAsia" w:cstheme="minorEastAsia"/>
                <w:sz w:val="24"/>
                <w:szCs w:val="24"/>
              </w:rPr>
              <w:t>44</w:t>
            </w:r>
          </w:p>
        </w:tc>
        <w:tc>
          <w:tcPr>
            <w:tcW w:w="3052" w:type="dxa"/>
            <w:noWrap w:val="0"/>
            <w:vAlign w:val="center"/>
          </w:tcPr>
          <w:p w14:paraId="54F010D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1.增强体能，掌握和应用基本的体育与健康知识与技能</w:t>
            </w:r>
          </w:p>
          <w:p w14:paraId="432A056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2.培养运动兴趣和爱好，形成坚持锻炼的习惯</w:t>
            </w:r>
          </w:p>
          <w:p w14:paraId="5D9A18D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3.具有良好的心理品质，表现出人际交往的能力与合作精神</w:t>
            </w:r>
          </w:p>
          <w:p w14:paraId="785B725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4.提高个人健康和群体健康的责任感，形成健康的生活方式</w:t>
            </w:r>
          </w:p>
          <w:p w14:paraId="5469A52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5.发扬体育精神，形成积极进取、乐观开朗的生活态度</w:t>
            </w:r>
          </w:p>
        </w:tc>
        <w:tc>
          <w:tcPr>
            <w:tcW w:w="2539" w:type="dxa"/>
            <w:noWrap w:val="0"/>
            <w:vAlign w:val="center"/>
          </w:tcPr>
          <w:p w14:paraId="423BA2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1.理论：介绍体育的目的、任务、锻炼、价值、科学锻炼方法、体育运动卫生保健知识以及各项运动的技术、战术分析和规则裁判法</w:t>
            </w:r>
          </w:p>
          <w:p w14:paraId="6FC3D2F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2.实践：开设足球、篮球、排球、田径、武术、健美操、乒乓球、羽毛球、网球、健身气功、户外拓展、瑜珈等专项课程</w:t>
            </w:r>
          </w:p>
        </w:tc>
        <w:tc>
          <w:tcPr>
            <w:tcW w:w="1789" w:type="dxa"/>
            <w:noWrap w:val="0"/>
            <w:vAlign w:val="center"/>
          </w:tcPr>
          <w:p w14:paraId="241D951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以学生为主体，把教书育人工作放在首位，以身体练习为主要手段，实现学生在运动参与、运动技能、身体健康、心理健康、社会适应等五大领域的学习目标。并结合学生的身心特点、项目特点、场地器材情况等合理安排，有效地预防和减少伤害事故的发生</w:t>
            </w:r>
          </w:p>
        </w:tc>
        <w:tc>
          <w:tcPr>
            <w:tcW w:w="1225" w:type="dxa"/>
            <w:noWrap w:val="0"/>
            <w:vAlign w:val="center"/>
          </w:tcPr>
          <w:p w14:paraId="7EEFC78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参照1.《国务院办公厅关于强化学校体育促进学生身心健康全面发展的意见》（国办发〔2016〕27号）；</w:t>
            </w:r>
          </w:p>
          <w:p w14:paraId="148C93C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2.《安徽省政府办公厅关于强化学校体育促进学生身心健康全面发展的实施意见》（皖政办</w:t>
            </w:r>
          </w:p>
          <w:p w14:paraId="34B47E2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〔2016〕33号）</w:t>
            </w:r>
          </w:p>
        </w:tc>
      </w:tr>
      <w:tr w14:paraId="4327FC2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362" w:type="dxa"/>
            <w:noWrap w:val="0"/>
            <w:vAlign w:val="center"/>
          </w:tcPr>
          <w:p w14:paraId="0BC7A2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highlight w:val="yellow"/>
                <w:lang w:val="zh-CN" w:eastAsia="zh-CN"/>
              </w:rPr>
            </w:pPr>
            <w:r>
              <w:rPr>
                <w:rFonts w:hint="eastAsia" w:asciiTheme="minorEastAsia" w:hAnsiTheme="minorEastAsia" w:eastAsiaTheme="minorEastAsia" w:cstheme="minorEastAsia"/>
                <w:sz w:val="24"/>
                <w:szCs w:val="24"/>
                <w:highlight w:val="yellow"/>
                <w:lang w:val="zh-CN"/>
              </w:rPr>
              <w:t>1</w:t>
            </w:r>
            <w:r>
              <w:rPr>
                <w:rFonts w:hint="eastAsia" w:asciiTheme="minorEastAsia" w:hAnsiTheme="minorEastAsia" w:eastAsiaTheme="minorEastAsia" w:cstheme="minorEastAsia"/>
                <w:sz w:val="24"/>
                <w:szCs w:val="24"/>
                <w:highlight w:val="yellow"/>
                <w:lang w:val="en-US" w:eastAsia="zh-CN"/>
              </w:rPr>
              <w:t>14</w:t>
            </w:r>
          </w:p>
        </w:tc>
        <w:tc>
          <w:tcPr>
            <w:tcW w:w="510" w:type="dxa"/>
            <w:noWrap w:val="0"/>
            <w:vAlign w:val="center"/>
          </w:tcPr>
          <w:p w14:paraId="3C8D311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highlight w:val="yellow"/>
                <w:lang w:val="zh-CN"/>
              </w:rPr>
            </w:pPr>
            <w:r>
              <w:rPr>
                <w:rFonts w:hint="eastAsia" w:asciiTheme="minorEastAsia" w:hAnsiTheme="minorEastAsia" w:eastAsiaTheme="minorEastAsia" w:cstheme="minorEastAsia"/>
                <w:sz w:val="24"/>
                <w:szCs w:val="24"/>
                <w:highlight w:val="yellow"/>
                <w:lang w:val="zh-CN"/>
              </w:rPr>
              <w:t>信</w:t>
            </w:r>
            <w:r>
              <w:rPr>
                <w:rFonts w:hint="eastAsia" w:asciiTheme="minorEastAsia" w:hAnsiTheme="minorEastAsia" w:eastAsiaTheme="minorEastAsia" w:cstheme="minorEastAsia"/>
                <w:sz w:val="24"/>
                <w:szCs w:val="24"/>
                <w:highlight w:val="yellow"/>
                <w:lang w:val="en-US" w:eastAsia="zh-CN"/>
              </w:rPr>
              <w:t>信</w:t>
            </w:r>
            <w:r>
              <w:rPr>
                <w:rFonts w:hint="eastAsia" w:asciiTheme="minorEastAsia" w:hAnsiTheme="minorEastAsia" w:eastAsiaTheme="minorEastAsia" w:cstheme="minorEastAsia"/>
                <w:sz w:val="24"/>
                <w:szCs w:val="24"/>
                <w:highlight w:val="yellow"/>
                <w:lang w:val="zh-CN"/>
              </w:rPr>
              <w:t>息技术</w:t>
            </w:r>
          </w:p>
        </w:tc>
        <w:tc>
          <w:tcPr>
            <w:tcW w:w="600" w:type="dxa"/>
            <w:noWrap w:val="0"/>
            <w:vAlign w:val="center"/>
          </w:tcPr>
          <w:p w14:paraId="5F5D780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en-US" w:eastAsia="zh-CN"/>
              </w:rPr>
            </w:pPr>
          </w:p>
          <w:p w14:paraId="4D92E02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en-US" w:eastAsia="zh-CN"/>
              </w:rPr>
            </w:pPr>
          </w:p>
          <w:p w14:paraId="790B7DB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en-US" w:eastAsia="zh-CN"/>
              </w:rPr>
            </w:pPr>
          </w:p>
          <w:p w14:paraId="36F4CA3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en-US" w:eastAsia="zh-CN"/>
              </w:rPr>
            </w:pPr>
          </w:p>
          <w:p w14:paraId="2275392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6</w:t>
            </w:r>
            <w:r>
              <w:rPr>
                <w:rFonts w:hint="eastAsia" w:asciiTheme="minorEastAsia" w:hAnsiTheme="minorEastAsia" w:eastAsiaTheme="minorEastAsia" w:cstheme="minorEastAsia"/>
                <w:sz w:val="24"/>
                <w:szCs w:val="24"/>
                <w:highlight w:val="yellow"/>
                <w:lang w:val="zh-CN"/>
              </w:rPr>
              <w:t>/</w:t>
            </w:r>
            <w:r>
              <w:rPr>
                <w:rFonts w:hint="eastAsia" w:asciiTheme="minorEastAsia" w:hAnsiTheme="minorEastAsia" w:eastAsiaTheme="minorEastAsia" w:cstheme="minorEastAsia"/>
                <w:sz w:val="24"/>
                <w:szCs w:val="24"/>
                <w:highlight w:val="yellow"/>
                <w:lang w:val="en-US" w:eastAsia="zh-CN"/>
              </w:rPr>
              <w:t>108</w:t>
            </w:r>
          </w:p>
        </w:tc>
        <w:tc>
          <w:tcPr>
            <w:tcW w:w="3052" w:type="dxa"/>
            <w:noWrap w:val="0"/>
            <w:vAlign w:val="center"/>
          </w:tcPr>
          <w:p w14:paraId="5032A05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highlight w:val="yellow"/>
                <w:lang w:val="zh-CN"/>
              </w:rPr>
            </w:pPr>
            <w:r>
              <w:rPr>
                <w:rFonts w:hint="eastAsia" w:asciiTheme="minorEastAsia" w:hAnsiTheme="minorEastAsia" w:eastAsiaTheme="minorEastAsia" w:cstheme="minorEastAsia"/>
                <w:sz w:val="24"/>
                <w:szCs w:val="24"/>
                <w:highlight w:val="yellow"/>
                <w:lang w:val="en-US" w:eastAsia="zh-CN"/>
              </w:rPr>
              <w:t>本课程立足食品加工工艺专业特色，夯实计算机基础、办公软件实操、专业信息检索、食品生产台账数字化录入、质检数据整理等基础信息化应用能力，适配食品生产、检测、质控岗位日常办公需求。进阶培养行业数字素养：形成食品领域数据思维，掌握简易数据可视化；运用 AIGC 与视觉设计助力食品品牌推广；依托 AI 视觉、智能体技术，提升智慧食品安全防控能力。</w:t>
            </w:r>
          </w:p>
        </w:tc>
        <w:tc>
          <w:tcPr>
            <w:tcW w:w="2539" w:type="dxa"/>
            <w:noWrap w:val="0"/>
            <w:vAlign w:val="center"/>
          </w:tcPr>
          <w:p w14:paraId="459201D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1.计算机基础与网络信息检索（24 课时）：计算机系统操作、网络基础；食品行业专业数据库检索；信息甄别与合规引用；</w:t>
            </w:r>
          </w:p>
          <w:p w14:paraId="4BDA3536">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zh-CN"/>
              </w:rPr>
            </w:pPr>
            <w:r>
              <w:rPr>
                <w:rFonts w:hint="eastAsia" w:asciiTheme="minorEastAsia" w:hAnsiTheme="minorEastAsia" w:eastAsiaTheme="minorEastAsia" w:cstheme="minorEastAsia"/>
                <w:sz w:val="24"/>
                <w:szCs w:val="24"/>
                <w:highlight w:val="yellow"/>
                <w:lang w:val="zh-CN"/>
              </w:rPr>
              <w:t>办公软件综合实操（28 课时）：Excel 高级功能；Word专业文档排版；PPT 汇报设计；</w:t>
            </w:r>
          </w:p>
          <w:p w14:paraId="3C27A742">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zh-CN"/>
              </w:rPr>
            </w:pPr>
            <w:r>
              <w:rPr>
                <w:rFonts w:hint="eastAsia" w:asciiTheme="minorEastAsia" w:hAnsiTheme="minorEastAsia" w:eastAsiaTheme="minorEastAsia" w:cstheme="minorEastAsia"/>
                <w:sz w:val="24"/>
                <w:szCs w:val="24"/>
                <w:highlight w:val="yellow"/>
                <w:lang w:val="zh-CN"/>
              </w:rPr>
              <w:t>食品台账规范整理应用（20课时）：生产台账数字化录入标准；质检数据分类、误差分析与规范存档；表格模板设计与数据共享；</w:t>
            </w:r>
          </w:p>
          <w:p w14:paraId="2963BF7C">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zh-CN"/>
              </w:rPr>
            </w:pPr>
            <w:r>
              <w:rPr>
                <w:rFonts w:hint="eastAsia" w:asciiTheme="minorEastAsia" w:hAnsiTheme="minorEastAsia" w:eastAsiaTheme="minorEastAsia" w:cstheme="minorEastAsia"/>
                <w:sz w:val="24"/>
                <w:szCs w:val="24"/>
                <w:highlight w:val="yellow"/>
                <w:lang w:val="zh-CN"/>
              </w:rPr>
              <w:t>数据思维（12课时）：食品行业数据采集方法、数据清洗与分析</w:t>
            </w:r>
            <w:r>
              <w:rPr>
                <w:rFonts w:hint="eastAsia" w:asciiTheme="minorEastAsia" w:hAnsiTheme="minorEastAsia" w:eastAsiaTheme="minorEastAsia" w:cstheme="minorEastAsia"/>
                <w:sz w:val="24"/>
                <w:szCs w:val="24"/>
                <w:highlight w:val="yellow"/>
                <w:lang w:val="en-US" w:eastAsia="zh-CN"/>
              </w:rPr>
              <w:t>等；</w:t>
            </w:r>
          </w:p>
          <w:p w14:paraId="35F37CB6">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zh-CN"/>
              </w:rPr>
            </w:pPr>
            <w:r>
              <w:rPr>
                <w:rFonts w:hint="eastAsia" w:asciiTheme="minorEastAsia" w:hAnsiTheme="minorEastAsia" w:eastAsiaTheme="minorEastAsia" w:cstheme="minorEastAsia"/>
                <w:sz w:val="24"/>
                <w:szCs w:val="24"/>
                <w:highlight w:val="yellow"/>
                <w:lang w:val="zh-CN"/>
              </w:rPr>
              <w:t>数媒表达（12课时）：AIGC 工具在食品品牌宣传中的应用；简易视觉设计；食品品牌推广场景</w:t>
            </w:r>
            <w:r>
              <w:rPr>
                <w:rFonts w:hint="eastAsia" w:asciiTheme="minorEastAsia" w:hAnsiTheme="minorEastAsia" w:eastAsiaTheme="minorEastAsia" w:cstheme="minorEastAsia"/>
                <w:sz w:val="24"/>
                <w:szCs w:val="24"/>
                <w:highlight w:val="yellow"/>
                <w:lang w:val="en-US" w:eastAsia="zh-CN"/>
              </w:rPr>
              <w:t>的</w:t>
            </w:r>
            <w:r>
              <w:rPr>
                <w:rFonts w:hint="eastAsia" w:asciiTheme="minorEastAsia" w:hAnsiTheme="minorEastAsia" w:eastAsiaTheme="minorEastAsia" w:cstheme="minorEastAsia"/>
                <w:sz w:val="24"/>
                <w:szCs w:val="24"/>
                <w:highlight w:val="yellow"/>
                <w:lang w:val="zh-CN"/>
              </w:rPr>
              <w:t>新媒体平台内容发布基础；</w:t>
            </w:r>
          </w:p>
          <w:p w14:paraId="0EB069C6">
            <w:pPr>
              <w:keepNext w:val="0"/>
              <w:keepLines w:val="0"/>
              <w:pageBreakBefore w:val="0"/>
              <w:widowControl w:val="0"/>
              <w:numPr>
                <w:ilvl w:val="0"/>
                <w:numId w:val="4"/>
              </w:numPr>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highlight w:val="yellow"/>
                <w:lang w:val="zh-CN"/>
              </w:rPr>
            </w:pPr>
            <w:r>
              <w:rPr>
                <w:rFonts w:hint="eastAsia" w:asciiTheme="minorEastAsia" w:hAnsiTheme="minorEastAsia" w:eastAsiaTheme="minorEastAsia" w:cstheme="minorEastAsia"/>
                <w:sz w:val="24"/>
                <w:szCs w:val="24"/>
                <w:highlight w:val="yellow"/>
                <w:lang w:val="zh-CN"/>
              </w:rPr>
              <w:t>智赋食安（12课时）：AI 视觉技术在食品异物检测</w:t>
            </w:r>
            <w:r>
              <w:rPr>
                <w:rFonts w:hint="eastAsia" w:asciiTheme="minorEastAsia" w:hAnsiTheme="minorEastAsia" w:eastAsiaTheme="minorEastAsia" w:cstheme="minorEastAsia"/>
                <w:sz w:val="24"/>
                <w:szCs w:val="24"/>
                <w:highlight w:val="yellow"/>
                <w:lang w:val="en-US" w:eastAsia="zh-CN"/>
              </w:rPr>
              <w:t>等</w:t>
            </w:r>
            <w:r>
              <w:rPr>
                <w:rFonts w:hint="eastAsia" w:asciiTheme="minorEastAsia" w:hAnsiTheme="minorEastAsia" w:eastAsiaTheme="minorEastAsia" w:cstheme="minorEastAsia"/>
                <w:sz w:val="24"/>
                <w:szCs w:val="24"/>
                <w:highlight w:val="yellow"/>
                <w:lang w:val="zh-CN"/>
              </w:rPr>
              <w:t>应用原理；智能体在食品安全溯源、风险预警中的基础逻辑；行业案例分析与简易工具实操。</w:t>
            </w:r>
          </w:p>
        </w:tc>
        <w:tc>
          <w:tcPr>
            <w:tcW w:w="1789" w:type="dxa"/>
            <w:noWrap w:val="0"/>
            <w:vAlign w:val="center"/>
          </w:tcPr>
          <w:p w14:paraId="26D9697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highlight w:val="yellow"/>
                <w:lang w:val="zh-CN"/>
              </w:rPr>
            </w:pPr>
            <w:r>
              <w:rPr>
                <w:rFonts w:hint="eastAsia" w:asciiTheme="minorEastAsia" w:hAnsiTheme="minorEastAsia" w:eastAsiaTheme="minorEastAsia" w:cstheme="minorEastAsia"/>
                <w:sz w:val="24"/>
                <w:szCs w:val="24"/>
                <w:highlight w:val="yellow"/>
                <w:lang w:val="zh-CN"/>
              </w:rPr>
              <w:t>以校企真实工作任务为导向，采用“基础理论+行业实操+AI融合”模式；基础模块强化行业适配训练，融入茶饮 / 烘焙企业实际工作场景；AI 模块突出案例教学与工具实操，每单元配套校企联合实训；注重过程性评价，结合基础技能考核、AI 应用实操、校企项目表现综合评定，强化安全规范与协作能力培养。</w:t>
            </w:r>
          </w:p>
        </w:tc>
        <w:tc>
          <w:tcPr>
            <w:tcW w:w="1225" w:type="dxa"/>
            <w:noWrap w:val="0"/>
            <w:vAlign w:val="center"/>
          </w:tcPr>
          <w:p w14:paraId="3147BFE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highlight w:val="yellow"/>
                <w:lang w:val="zh-CN"/>
              </w:rPr>
            </w:pPr>
            <w:r>
              <w:rPr>
                <w:rFonts w:hint="eastAsia" w:asciiTheme="minorEastAsia" w:hAnsiTheme="minorEastAsia" w:eastAsiaTheme="minorEastAsia" w:cstheme="minorEastAsia"/>
                <w:sz w:val="24"/>
                <w:szCs w:val="24"/>
                <w:highlight w:val="yellow"/>
                <w:lang w:val="en-US" w:eastAsia="zh-CN"/>
              </w:rPr>
              <w:t>对接食品加工工艺</w:t>
            </w:r>
            <w:r>
              <w:rPr>
                <w:rFonts w:hint="eastAsia" w:asciiTheme="minorEastAsia" w:hAnsiTheme="minorEastAsia" w:eastAsiaTheme="minorEastAsia" w:cstheme="minorEastAsia"/>
                <w:sz w:val="24"/>
                <w:szCs w:val="24"/>
                <w:highlight w:val="yellow"/>
                <w:lang w:val="zh-CN"/>
              </w:rPr>
              <w:t>专业教学标准，立足校企合作需求，贴合茶饮 / 烘焙岗位对计算机基础与 AI 应用的双重要求；遵循中职学生认知规律，先夯实计算机基础，再融入 AI 通识与专业应用，平衡知识传授与实操训练，助力学生适应数字化工作场景，提升就业竞争力。</w:t>
            </w:r>
          </w:p>
        </w:tc>
      </w:tr>
      <w:tr w14:paraId="49CE91B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362" w:type="dxa"/>
            <w:noWrap w:val="0"/>
            <w:vAlign w:val="center"/>
          </w:tcPr>
          <w:p w14:paraId="31945ED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rPr>
              <w:t>1</w:t>
            </w:r>
            <w:r>
              <w:rPr>
                <w:rFonts w:hint="eastAsia" w:asciiTheme="minorEastAsia" w:hAnsiTheme="minorEastAsia" w:eastAsiaTheme="minorEastAsia" w:cstheme="minorEastAsia"/>
                <w:sz w:val="24"/>
                <w:szCs w:val="24"/>
                <w:lang w:val="en-US" w:eastAsia="zh-CN"/>
              </w:rPr>
              <w:t>15</w:t>
            </w:r>
          </w:p>
        </w:tc>
        <w:tc>
          <w:tcPr>
            <w:tcW w:w="510" w:type="dxa"/>
            <w:noWrap w:val="0"/>
            <w:vAlign w:val="center"/>
          </w:tcPr>
          <w:p w14:paraId="194AE80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艺</w:t>
            </w:r>
            <w:r>
              <w:rPr>
                <w:rFonts w:hint="eastAsia" w:asciiTheme="minorEastAsia" w:hAnsiTheme="minorEastAsia" w:eastAsiaTheme="minorEastAsia" w:cstheme="minorEastAsia"/>
                <w:sz w:val="24"/>
                <w:szCs w:val="24"/>
                <w:lang w:val="en-US" w:eastAsia="zh-CN"/>
              </w:rPr>
              <w:t>艺</w:t>
            </w:r>
            <w:r>
              <w:rPr>
                <w:rFonts w:hint="eastAsia" w:asciiTheme="minorEastAsia" w:hAnsiTheme="minorEastAsia" w:eastAsiaTheme="minorEastAsia" w:cstheme="minorEastAsia"/>
                <w:sz w:val="24"/>
                <w:szCs w:val="24"/>
                <w:lang w:val="zh-CN"/>
              </w:rPr>
              <w:t>术</w:t>
            </w:r>
          </w:p>
        </w:tc>
        <w:tc>
          <w:tcPr>
            <w:tcW w:w="600" w:type="dxa"/>
            <w:noWrap w:val="0"/>
            <w:vAlign w:val="center"/>
          </w:tcPr>
          <w:p w14:paraId="2520040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lang w:val="en-US" w:eastAsia="zh-CN"/>
              </w:rPr>
              <w:t>36</w:t>
            </w:r>
          </w:p>
        </w:tc>
        <w:tc>
          <w:tcPr>
            <w:tcW w:w="3052" w:type="dxa"/>
            <w:noWrap w:val="0"/>
            <w:vAlign w:val="center"/>
          </w:tcPr>
          <w:p w14:paraId="36AF2AA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本课程对于培养学生艺术欣赏的能力、找到艺术欣赏的途径和方法以及提高学生的文化品位及审美素养具有显著意义。通过对多种艺术作品的欣赏、学习，培养学生的观察力、理解力、想象力、注意力、感受力、适应力</w:t>
            </w:r>
          </w:p>
        </w:tc>
        <w:tc>
          <w:tcPr>
            <w:tcW w:w="2539" w:type="dxa"/>
            <w:noWrap w:val="0"/>
            <w:vAlign w:val="center"/>
          </w:tcPr>
          <w:p w14:paraId="2EAC36F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1.美术与人生</w:t>
            </w:r>
          </w:p>
          <w:p w14:paraId="63AB582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2.美术表现</w:t>
            </w:r>
          </w:p>
          <w:p w14:paraId="56BD220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3.中国美术赏析</w:t>
            </w:r>
          </w:p>
          <w:p w14:paraId="486370F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4.外国美术赏析</w:t>
            </w:r>
          </w:p>
          <w:p w14:paraId="1736FD4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5.新古典主义与浪漫主义时期绘画</w:t>
            </w:r>
          </w:p>
          <w:p w14:paraId="26E4119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6.20世纪绘画设计</w:t>
            </w:r>
          </w:p>
        </w:tc>
        <w:tc>
          <w:tcPr>
            <w:tcW w:w="1789" w:type="dxa"/>
            <w:noWrap w:val="0"/>
            <w:vAlign w:val="center"/>
          </w:tcPr>
          <w:p w14:paraId="15130A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在“理论教学+课堂互动+探究拓展”的教学模式中，采用课堂讲授、实践教学、网络教学、自主学习等相结合的方式实施教学</w:t>
            </w:r>
          </w:p>
        </w:tc>
        <w:tc>
          <w:tcPr>
            <w:tcW w:w="1225" w:type="dxa"/>
            <w:noWrap w:val="0"/>
            <w:vAlign w:val="center"/>
          </w:tcPr>
          <w:p w14:paraId="0594D38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参照中等职业教育艺术课程教学基本要求</w:t>
            </w:r>
          </w:p>
        </w:tc>
      </w:tr>
      <w:tr w14:paraId="1EB3263E">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1587" w:hRule="atLeast"/>
          <w:jc w:val="center"/>
        </w:trPr>
        <w:tc>
          <w:tcPr>
            <w:tcW w:w="362" w:type="dxa"/>
            <w:noWrap w:val="0"/>
            <w:vAlign w:val="center"/>
          </w:tcPr>
          <w:p w14:paraId="4E6E5C9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16</w:t>
            </w:r>
          </w:p>
        </w:tc>
        <w:tc>
          <w:tcPr>
            <w:tcW w:w="510" w:type="dxa"/>
            <w:noWrap w:val="0"/>
            <w:vAlign w:val="center"/>
          </w:tcPr>
          <w:p w14:paraId="3DD76DB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w:t>
            </w:r>
            <w:r>
              <w:rPr>
                <w:rFonts w:hint="eastAsia" w:asciiTheme="minorEastAsia" w:hAnsiTheme="minorEastAsia" w:eastAsiaTheme="minorEastAsia" w:cstheme="minorEastAsia"/>
                <w:sz w:val="24"/>
                <w:szCs w:val="24"/>
                <w:lang w:val="en-US" w:eastAsia="zh-CN"/>
              </w:rPr>
              <w:t>中</w:t>
            </w:r>
            <w:r>
              <w:rPr>
                <w:rFonts w:hint="eastAsia" w:asciiTheme="minorEastAsia" w:hAnsiTheme="minorEastAsia" w:eastAsiaTheme="minorEastAsia" w:cstheme="minorEastAsia"/>
                <w:sz w:val="24"/>
                <w:szCs w:val="24"/>
              </w:rPr>
              <w:t>华优秀传统文化</w:t>
            </w:r>
          </w:p>
        </w:tc>
        <w:tc>
          <w:tcPr>
            <w:tcW w:w="600" w:type="dxa"/>
            <w:noWrap w:val="0"/>
            <w:vAlign w:val="center"/>
          </w:tcPr>
          <w:p w14:paraId="00CBAF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1/18</w:t>
            </w:r>
          </w:p>
        </w:tc>
        <w:tc>
          <w:tcPr>
            <w:tcW w:w="3052" w:type="dxa"/>
            <w:noWrap w:val="0"/>
            <w:vAlign w:val="center"/>
          </w:tcPr>
          <w:p w14:paraId="41538E7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本课程通过多样化、系统性及实用性的手段，深入浅出地讲授中华传统文化历史、思想、艺术、文化等多方面，从多角度展示独特的文化特色，并以此帮助学生掌握中国传统文化精髓，从中得到收获，发展自身视野，增长文化修养，增强家国情怀和文化自信。</w:t>
            </w:r>
          </w:p>
          <w:p w14:paraId="2C703DB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p>
        </w:tc>
        <w:tc>
          <w:tcPr>
            <w:tcW w:w="2539" w:type="dxa"/>
            <w:noWrap w:val="0"/>
            <w:vAlign w:val="center"/>
          </w:tcPr>
          <w:p w14:paraId="713A490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zh-CN" w:eastAsia="zh-CN"/>
              </w:rPr>
              <w:t>中华优秀传统文化在历史进程中的形成和发展</w:t>
            </w:r>
          </w:p>
          <w:p w14:paraId="2A1DFEB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val="zh-CN" w:eastAsia="zh-CN"/>
              </w:rPr>
              <w:t>中华民族文化及发展历程</w:t>
            </w:r>
          </w:p>
          <w:p w14:paraId="78C4D67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lang w:val="zh-CN" w:eastAsia="zh-CN"/>
              </w:rPr>
              <w:t>中国传统文化中的特色美学、传统节日、艺术概念、价值观以及审美认同的历史变迁</w:t>
            </w:r>
          </w:p>
        </w:tc>
        <w:tc>
          <w:tcPr>
            <w:tcW w:w="1789" w:type="dxa"/>
            <w:noWrap w:val="0"/>
            <w:vAlign w:val="center"/>
          </w:tcPr>
          <w:p w14:paraId="0A2AB45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采用课堂讲授、实践教学、观摩视频、自主学习等相结合的方式实施教学</w:t>
            </w:r>
          </w:p>
        </w:tc>
        <w:tc>
          <w:tcPr>
            <w:tcW w:w="1225" w:type="dxa"/>
            <w:noWrap w:val="0"/>
            <w:vAlign w:val="center"/>
          </w:tcPr>
          <w:p w14:paraId="59925B6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参照教育部印发《中华优秀传统文化进中小学课程教材指南》</w:t>
            </w:r>
          </w:p>
        </w:tc>
      </w:tr>
      <w:tr w14:paraId="1B6C1F02">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57" w:type="dxa"/>
            <w:left w:w="57" w:type="dxa"/>
            <w:bottom w:w="57" w:type="dxa"/>
            <w:right w:w="57" w:type="dxa"/>
          </w:tblCellMar>
        </w:tblPrEx>
        <w:trPr>
          <w:trHeight w:val="1316" w:hRule="atLeast"/>
          <w:jc w:val="center"/>
        </w:trPr>
        <w:tc>
          <w:tcPr>
            <w:tcW w:w="362" w:type="dxa"/>
            <w:noWrap w:val="0"/>
            <w:vAlign w:val="center"/>
          </w:tcPr>
          <w:p w14:paraId="54FA666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7</w:t>
            </w:r>
          </w:p>
        </w:tc>
        <w:tc>
          <w:tcPr>
            <w:tcW w:w="510" w:type="dxa"/>
            <w:noWrap w:val="0"/>
            <w:vAlign w:val="center"/>
          </w:tcPr>
          <w:p w14:paraId="543B9EB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rPr>
              <w:t>职</w:t>
            </w:r>
            <w:r>
              <w:rPr>
                <w:rFonts w:hint="eastAsia" w:asciiTheme="minorEastAsia" w:hAnsiTheme="minorEastAsia" w:eastAsiaTheme="minorEastAsia" w:cstheme="minorEastAsia"/>
                <w:sz w:val="24"/>
                <w:szCs w:val="24"/>
                <w:lang w:val="en-US" w:eastAsia="zh-CN"/>
              </w:rPr>
              <w:t>职</w:t>
            </w:r>
            <w:r>
              <w:rPr>
                <w:rFonts w:hint="eastAsia" w:asciiTheme="minorEastAsia" w:hAnsiTheme="minorEastAsia" w:eastAsiaTheme="minorEastAsia" w:cstheme="minorEastAsia"/>
                <w:sz w:val="24"/>
                <w:szCs w:val="24"/>
                <w:lang w:val="zh-CN"/>
              </w:rPr>
              <w:t>业素养</w:t>
            </w:r>
          </w:p>
        </w:tc>
        <w:tc>
          <w:tcPr>
            <w:tcW w:w="600" w:type="dxa"/>
            <w:noWrap w:val="0"/>
            <w:vAlign w:val="center"/>
          </w:tcPr>
          <w:p w14:paraId="2E5209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zh-CN"/>
              </w:rPr>
              <w:t>/18</w:t>
            </w:r>
          </w:p>
        </w:tc>
        <w:tc>
          <w:tcPr>
            <w:tcW w:w="3052" w:type="dxa"/>
            <w:noWrap w:val="0"/>
            <w:vAlign w:val="center"/>
          </w:tcPr>
          <w:p w14:paraId="7D7975B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本课程旨在帮助学生增强职业经验和职业能力，帮助学生了解自己，找到合适的职位，拥有职业发展的正确观点。学习如何正确的进行公共表现，维持身心健康，调节自我，控制情绪，使学生更加有效地处理压力，从而提高工作表现。</w:t>
            </w:r>
          </w:p>
        </w:tc>
        <w:tc>
          <w:tcPr>
            <w:tcW w:w="2539" w:type="dxa"/>
            <w:noWrap w:val="0"/>
            <w:vAlign w:val="center"/>
          </w:tcPr>
          <w:p w14:paraId="68A3CD2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1.专业素养</w:t>
            </w:r>
          </w:p>
          <w:p w14:paraId="3AFA52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2.道德素养</w:t>
            </w:r>
          </w:p>
          <w:p w14:paraId="1EA24A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3.沟通素养</w:t>
            </w:r>
          </w:p>
          <w:p w14:paraId="559AF2F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4.团队合作素养</w:t>
            </w:r>
          </w:p>
          <w:p w14:paraId="378318A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eastAsia="zh-CN"/>
              </w:rPr>
              <w:t>5.责任心和自我管理素养</w:t>
            </w:r>
          </w:p>
        </w:tc>
        <w:tc>
          <w:tcPr>
            <w:tcW w:w="1789" w:type="dxa"/>
            <w:noWrap w:val="0"/>
            <w:vAlign w:val="center"/>
          </w:tcPr>
          <w:p w14:paraId="08D2DF2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在“理论教学+课堂互动+探究拓展”的教学模式中，采用课堂讲授、实践教学、网络教学、自主学习等相结合的方式实施教学</w:t>
            </w:r>
          </w:p>
        </w:tc>
        <w:tc>
          <w:tcPr>
            <w:tcW w:w="1225" w:type="dxa"/>
            <w:noWrap w:val="0"/>
            <w:vAlign w:val="center"/>
          </w:tcPr>
          <w:p w14:paraId="023FEBA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《中等职业学校公共基础课程方案》《关于职业院校专业人才培养方案制订与实施工作的指导意见》</w:t>
            </w:r>
          </w:p>
        </w:tc>
      </w:tr>
    </w:tbl>
    <w:p w14:paraId="6F8F82C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p>
    <w:p w14:paraId="2F9A9A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p>
    <w:p w14:paraId="4C214EA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p>
    <w:p w14:paraId="471D58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p>
    <w:p w14:paraId="48CA29F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p>
    <w:p w14:paraId="059775D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2.专业课程</w:t>
      </w:r>
    </w:p>
    <w:tbl>
      <w:tblPr>
        <w:tblStyle w:val="16"/>
        <w:tblW w:w="10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70"/>
        <w:gridCol w:w="670"/>
        <w:gridCol w:w="3216"/>
        <w:gridCol w:w="4519"/>
        <w:gridCol w:w="1030"/>
      </w:tblGrid>
      <w:tr w14:paraId="48D8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9" w:hRule="atLeast"/>
          <w:jc w:val="center"/>
        </w:trPr>
        <w:tc>
          <w:tcPr>
            <w:tcW w:w="594" w:type="dxa"/>
            <w:noWrap w:val="0"/>
            <w:vAlign w:val="center"/>
          </w:tcPr>
          <w:p w14:paraId="13FA820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序号</w:t>
            </w:r>
          </w:p>
        </w:tc>
        <w:tc>
          <w:tcPr>
            <w:tcW w:w="594" w:type="dxa"/>
            <w:noWrap w:val="0"/>
            <w:vAlign w:val="center"/>
          </w:tcPr>
          <w:p w14:paraId="61E7C48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课程</w:t>
            </w:r>
          </w:p>
        </w:tc>
        <w:tc>
          <w:tcPr>
            <w:tcW w:w="3448" w:type="dxa"/>
            <w:noWrap w:val="0"/>
            <w:vAlign w:val="center"/>
          </w:tcPr>
          <w:p w14:paraId="5A83A1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课程目标</w:t>
            </w:r>
          </w:p>
        </w:tc>
        <w:tc>
          <w:tcPr>
            <w:tcW w:w="4890" w:type="dxa"/>
            <w:noWrap w:val="0"/>
            <w:vAlign w:val="center"/>
          </w:tcPr>
          <w:p w14:paraId="537CDAB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主要教学内容和要求</w:t>
            </w:r>
          </w:p>
        </w:tc>
        <w:tc>
          <w:tcPr>
            <w:tcW w:w="579" w:type="dxa"/>
            <w:noWrap w:val="0"/>
            <w:vAlign w:val="center"/>
          </w:tcPr>
          <w:p w14:paraId="326E251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学分/学时</w:t>
            </w:r>
          </w:p>
        </w:tc>
      </w:tr>
      <w:tr w14:paraId="6004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94" w:type="dxa"/>
            <w:noWrap w:val="0"/>
            <w:tcMar>
              <w:top w:w="0" w:type="dxa"/>
              <w:left w:w="0" w:type="dxa"/>
              <w:bottom w:w="0" w:type="dxa"/>
              <w:right w:w="0" w:type="dxa"/>
            </w:tcMar>
            <w:vAlign w:val="center"/>
          </w:tcPr>
          <w:p w14:paraId="4A293BF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594" w:type="dxa"/>
            <w:noWrap w:val="0"/>
            <w:tcMar>
              <w:top w:w="0" w:type="dxa"/>
              <w:left w:w="0" w:type="dxa"/>
              <w:bottom w:w="0" w:type="dxa"/>
              <w:right w:w="0" w:type="dxa"/>
            </w:tcMar>
            <w:vAlign w:val="center"/>
          </w:tcPr>
          <w:p w14:paraId="2D0D8D5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物理</w:t>
            </w:r>
          </w:p>
        </w:tc>
        <w:tc>
          <w:tcPr>
            <w:tcW w:w="3448" w:type="dxa"/>
            <w:noWrap w:val="0"/>
            <w:tcMar>
              <w:top w:w="0" w:type="dxa"/>
              <w:left w:w="113" w:type="dxa"/>
              <w:bottom w:w="0" w:type="dxa"/>
              <w:right w:w="113" w:type="dxa"/>
            </w:tcMar>
            <w:vAlign w:val="center"/>
          </w:tcPr>
          <w:p w14:paraId="3B9F28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物理课程要落实立德树人的根本任务,重视辩证唯物主义世界观和方法论教育，在完成义务教育的基础上，通过基础知识学习和实践，使学生在以下几方面获得发展。1.了解物质结构、运动与相互作用、能量等方面的基本概念和规律及其在生产、生活中的应用。2.具有建构模型的意识和能力，并能根据实际问题需要，选用恰当的模型解决简单的物理问题。3．掌握实验观察的基本方法，能对记录的实验现象和结果进行科学分析和数据处理，得出正确结论。4.初步具有实事求是、一丝不荀、精益求精的科学态度和精神品质；具有主动与他人合作交流的意愿和能力，能基于证据表达自己的观点和见解，能耐心倾听他人意见认识科学·技术·社会·环境的关系，形成节能意识、环保意识，自觉践行绿色生活理念，增强可持续发展的社会责任感。</w:t>
            </w:r>
          </w:p>
        </w:tc>
        <w:tc>
          <w:tcPr>
            <w:tcW w:w="4890" w:type="dxa"/>
            <w:noWrap w:val="0"/>
            <w:tcMar>
              <w:top w:w="0" w:type="dxa"/>
              <w:left w:w="113" w:type="dxa"/>
              <w:bottom w:w="0" w:type="dxa"/>
              <w:right w:w="113" w:type="dxa"/>
            </w:tcMar>
            <w:vAlign w:val="center"/>
          </w:tcPr>
          <w:p w14:paraId="7CE28C3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基础模块由运动和力、功和能、热现象及能量守恒、直流电及其应用、电与磁及其应用、光现象及其应用、核能及其应用七个主题组成。</w:t>
            </w:r>
          </w:p>
          <w:p w14:paraId="728D40A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物理教师应根据课程标准，落实立德树人根本任务，以促进学生物理学科核心素养的形成和发展为目标，结合中等职业教育特点，遵循物理教育规律，从学生实际出发，创造性地开展教学活动，采用灵活多样的教学方法，充分开发和利用多种课程资源进行教学。1.确定教学目标，发展物理学科核心素养；2.重视情境创设，突出物理知识应用；3.强化实践教学,，提升操作技能；4.加强信息技术运用，提高教学效果。</w:t>
            </w:r>
          </w:p>
        </w:tc>
        <w:tc>
          <w:tcPr>
            <w:tcW w:w="579" w:type="dxa"/>
            <w:noWrap w:val="0"/>
            <w:tcMar>
              <w:top w:w="0" w:type="dxa"/>
              <w:left w:w="0" w:type="dxa"/>
              <w:bottom w:w="0" w:type="dxa"/>
              <w:right w:w="0" w:type="dxa"/>
            </w:tcMar>
            <w:vAlign w:val="center"/>
          </w:tcPr>
          <w:p w14:paraId="4828DE5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3/54</w:t>
            </w:r>
          </w:p>
        </w:tc>
      </w:tr>
      <w:tr w14:paraId="5F33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87" w:hRule="atLeast"/>
          <w:jc w:val="center"/>
        </w:trPr>
        <w:tc>
          <w:tcPr>
            <w:tcW w:w="594" w:type="dxa"/>
            <w:noWrap w:val="0"/>
            <w:tcMar>
              <w:top w:w="0" w:type="dxa"/>
              <w:left w:w="0" w:type="dxa"/>
              <w:bottom w:w="0" w:type="dxa"/>
              <w:right w:w="0" w:type="dxa"/>
            </w:tcMar>
            <w:vAlign w:val="center"/>
          </w:tcPr>
          <w:p w14:paraId="1EE7C51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594" w:type="dxa"/>
            <w:noWrap w:val="0"/>
            <w:tcMar>
              <w:top w:w="0" w:type="dxa"/>
              <w:left w:w="0" w:type="dxa"/>
              <w:bottom w:w="0" w:type="dxa"/>
              <w:right w:w="0" w:type="dxa"/>
            </w:tcMar>
            <w:vAlign w:val="center"/>
          </w:tcPr>
          <w:p w14:paraId="0B4DFB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化学</w:t>
            </w:r>
          </w:p>
        </w:tc>
        <w:tc>
          <w:tcPr>
            <w:tcW w:w="3448" w:type="dxa"/>
            <w:noWrap w:val="0"/>
            <w:tcMar>
              <w:top w:w="0" w:type="dxa"/>
              <w:left w:w="113" w:type="dxa"/>
              <w:bottom w:w="0" w:type="dxa"/>
              <w:right w:w="113" w:type="dxa"/>
            </w:tcMar>
            <w:vAlign w:val="center"/>
          </w:tcPr>
          <w:p w14:paraId="24F00B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通过中职化学课培养学生能依据组成和性质对常见物质进行辨识；掌握观察化学反应现象的方法，能使用规范的化学语言准确地描述反应.现象；认识实验探究对学习化学课程的重要性；能主动与他人合作，体验实验探究过程，学会实验探究的基本方法，利用探究结果形成合理的结论；培养严谨求实的科学态度和精益求精的工匠精神；增强探究物质性质和变化的兴趣，能主动关注、客观分析与化学相关的社会热点问题；能正确认识化学与人类进步、社会发展及生态文明的关系，形成节约、环保、安全的行动自觉,增强社会责任意识。</w:t>
            </w:r>
          </w:p>
        </w:tc>
        <w:tc>
          <w:tcPr>
            <w:tcW w:w="4890" w:type="dxa"/>
            <w:noWrap w:val="0"/>
            <w:tcMar>
              <w:top w:w="0" w:type="dxa"/>
              <w:left w:w="113" w:type="dxa"/>
              <w:bottom w:w="0" w:type="dxa"/>
              <w:right w:w="113" w:type="dxa"/>
            </w:tcMar>
            <w:vAlign w:val="center"/>
          </w:tcPr>
          <w:p w14:paraId="4515BA1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等职业学校化学课程的任务是全面贯彻党的教育方针，落实立德树人根本任务，服务发展，促进就业；培养学生的化学学科核心素养，使学生获得必备的化学基础知识、基本技能和基本方法，认识物质变化规律，养成发现、分析、解决化学相关问题的能力；培养学生精益求精的工匠精神、严谨求实的科学态度和勇于开拓的创新意识;引领学生逐步形成正确的世界观、人生观和价值观，自觉践行社会主义核心价值观，成为德智体美劳全面发展的高素质劳动者和技术技能人才。</w:t>
            </w:r>
          </w:p>
          <w:p w14:paraId="5FBE6AC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课程分为基础模块和拓展模块两部分，其中基础模块包含原子结构与化学键、化学反应及其规律、溶液与水溶液中的离子反应、常见无机物及其应用、简单有机化合物及其应用、常见生物分子及合成高分子化合物 6 个专题，拓展模块包含缓冲溶液、胶体和渗透压、滴定分析法、脂类和纤维索、杂环化合物、生物碱和核酸4个专题内容。</w:t>
            </w:r>
          </w:p>
        </w:tc>
        <w:tc>
          <w:tcPr>
            <w:tcW w:w="579" w:type="dxa"/>
            <w:noWrap w:val="0"/>
            <w:tcMar>
              <w:top w:w="0" w:type="dxa"/>
              <w:left w:w="0" w:type="dxa"/>
              <w:bottom w:w="0" w:type="dxa"/>
              <w:right w:w="0" w:type="dxa"/>
            </w:tcMar>
            <w:vAlign w:val="center"/>
          </w:tcPr>
          <w:p w14:paraId="51DE244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8/144</w:t>
            </w:r>
          </w:p>
        </w:tc>
      </w:tr>
      <w:tr w14:paraId="74CC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4" w:hRule="atLeast"/>
          <w:jc w:val="center"/>
        </w:trPr>
        <w:tc>
          <w:tcPr>
            <w:tcW w:w="594" w:type="dxa"/>
            <w:noWrap w:val="0"/>
            <w:tcMar>
              <w:top w:w="0" w:type="dxa"/>
              <w:left w:w="0" w:type="dxa"/>
              <w:bottom w:w="0" w:type="dxa"/>
              <w:right w:w="0" w:type="dxa"/>
            </w:tcMar>
            <w:vAlign w:val="center"/>
          </w:tcPr>
          <w:p w14:paraId="43B7724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594" w:type="dxa"/>
            <w:noWrap w:val="0"/>
            <w:tcMar>
              <w:top w:w="0" w:type="dxa"/>
              <w:left w:w="0" w:type="dxa"/>
              <w:bottom w:w="0" w:type="dxa"/>
              <w:right w:w="0" w:type="dxa"/>
            </w:tcMar>
            <w:vAlign w:val="center"/>
          </w:tcPr>
          <w:p w14:paraId="6E22885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食品营养与健康</w:t>
            </w:r>
          </w:p>
        </w:tc>
        <w:tc>
          <w:tcPr>
            <w:tcW w:w="3448" w:type="dxa"/>
            <w:noWrap w:val="0"/>
            <w:tcMar>
              <w:top w:w="0" w:type="dxa"/>
              <w:left w:w="113" w:type="dxa"/>
              <w:bottom w:w="0" w:type="dxa"/>
              <w:right w:w="113" w:type="dxa"/>
            </w:tcMar>
            <w:vAlign w:val="center"/>
          </w:tcPr>
          <w:p w14:paraId="30D964D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本课程讲授膳食平衡的理论</w:t>
            </w:r>
          </w:p>
          <w:p w14:paraId="584A3D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知识，各类营养素对健康的作用、各类食物的营养成分、各类人群营养、保健食品与强化食品、膳食营养素摄入计算等基础知识，具备编制不同人群的一日、一周食谱，对居民营养状况能进行调查和分析并指导的能力，为以后在食品企业从事膳食指导与营养师岗位的工作打下基础。</w:t>
            </w:r>
          </w:p>
        </w:tc>
        <w:tc>
          <w:tcPr>
            <w:tcW w:w="4890" w:type="dxa"/>
            <w:noWrap w:val="0"/>
            <w:tcMar>
              <w:top w:w="0" w:type="dxa"/>
              <w:left w:w="113" w:type="dxa"/>
              <w:bottom w:w="0" w:type="dxa"/>
              <w:right w:w="113" w:type="dxa"/>
            </w:tcMar>
            <w:vAlign w:val="center"/>
          </w:tcPr>
          <w:p w14:paraId="5F59F70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培养学生系统地掌握食品营养学的基础理论和知识、掌握食品加工对各类营养素和食品营养价值的影响以及增进营养的措施和途径，具备进行膳食调查、体格检查、评价个体营养状况,营养咨询与配餐等工作的综合职业素质能力。</w:t>
            </w:r>
          </w:p>
        </w:tc>
        <w:tc>
          <w:tcPr>
            <w:tcW w:w="579" w:type="dxa"/>
            <w:noWrap w:val="0"/>
            <w:tcMar>
              <w:top w:w="0" w:type="dxa"/>
              <w:left w:w="0" w:type="dxa"/>
              <w:bottom w:w="0" w:type="dxa"/>
              <w:right w:w="0" w:type="dxa"/>
            </w:tcMar>
            <w:vAlign w:val="center"/>
          </w:tcPr>
          <w:p w14:paraId="04953B1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3/54</w:t>
            </w:r>
          </w:p>
        </w:tc>
      </w:tr>
      <w:tr w14:paraId="6ADB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6" w:hRule="atLeast"/>
          <w:jc w:val="center"/>
        </w:trPr>
        <w:tc>
          <w:tcPr>
            <w:tcW w:w="594" w:type="dxa"/>
            <w:noWrap w:val="0"/>
            <w:tcMar>
              <w:top w:w="0" w:type="dxa"/>
              <w:left w:w="0" w:type="dxa"/>
              <w:bottom w:w="0" w:type="dxa"/>
              <w:right w:w="0" w:type="dxa"/>
            </w:tcMar>
            <w:vAlign w:val="center"/>
          </w:tcPr>
          <w:p w14:paraId="11E27A4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594" w:type="dxa"/>
            <w:noWrap w:val="0"/>
            <w:tcMar>
              <w:top w:w="0" w:type="dxa"/>
              <w:left w:w="0" w:type="dxa"/>
              <w:bottom w:w="0" w:type="dxa"/>
              <w:right w:w="0" w:type="dxa"/>
            </w:tcMar>
            <w:vAlign w:val="center"/>
          </w:tcPr>
          <w:p w14:paraId="52697D6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食品原料基础</w:t>
            </w:r>
          </w:p>
        </w:tc>
        <w:tc>
          <w:tcPr>
            <w:tcW w:w="3448" w:type="dxa"/>
            <w:noWrap w:val="0"/>
            <w:tcMar>
              <w:top w:w="0" w:type="dxa"/>
              <w:left w:w="113" w:type="dxa"/>
              <w:bottom w:w="0" w:type="dxa"/>
              <w:right w:w="113" w:type="dxa"/>
            </w:tcMar>
            <w:vAlign w:val="center"/>
          </w:tcPr>
          <w:p w14:paraId="2F69CB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本课程让学生了解国内外农产品原料的资源情况，掌握贮藏加工适用品种的生物学特性、植物形态、组织结构、化学成分以及在贮藏加工中的生化变化规律，并掌握相应的技术措施，保持原料的品质和营养价值，从而为食品贮藏加工提供优质的原料。既能为学习各门专业课程打好基础，也能为将来从事食品行业奠定理论知识。</w:t>
            </w:r>
          </w:p>
        </w:tc>
        <w:tc>
          <w:tcPr>
            <w:tcW w:w="4890" w:type="dxa"/>
            <w:noWrap w:val="0"/>
            <w:tcMar>
              <w:top w:w="0" w:type="dxa"/>
              <w:left w:w="113" w:type="dxa"/>
              <w:bottom w:w="0" w:type="dxa"/>
              <w:right w:w="113" w:type="dxa"/>
            </w:tcMar>
            <w:vAlign w:val="center"/>
          </w:tcPr>
          <w:p w14:paraId="6B9893E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的主要内容有:粮油食品原料，主要包括稻谷、小麦与小麦粉、大豆、马铃薯等原料的化学成分、营养分布特点和生物学特性;果蔬食品原料资源特点、营养特点和生理特性；畜产品原料的物化、生物学特性以及品质鉴定;水产食品原料的物理性质、化学成分及生理特点和加工特性，以及茶叶的物理化学特性、加工特性及贮藏管理等。</w:t>
            </w:r>
          </w:p>
        </w:tc>
        <w:tc>
          <w:tcPr>
            <w:tcW w:w="579" w:type="dxa"/>
            <w:noWrap w:val="0"/>
            <w:tcMar>
              <w:top w:w="0" w:type="dxa"/>
              <w:left w:w="0" w:type="dxa"/>
              <w:bottom w:w="0" w:type="dxa"/>
              <w:right w:w="0" w:type="dxa"/>
            </w:tcMar>
            <w:vAlign w:val="center"/>
          </w:tcPr>
          <w:p w14:paraId="09D5B1A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4/72</w:t>
            </w:r>
          </w:p>
        </w:tc>
      </w:tr>
      <w:tr w14:paraId="2DCC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50" w:hRule="atLeast"/>
          <w:jc w:val="center"/>
        </w:trPr>
        <w:tc>
          <w:tcPr>
            <w:tcW w:w="594" w:type="dxa"/>
            <w:noWrap w:val="0"/>
            <w:tcMar>
              <w:top w:w="0" w:type="dxa"/>
              <w:left w:w="0" w:type="dxa"/>
              <w:bottom w:w="0" w:type="dxa"/>
              <w:right w:w="0" w:type="dxa"/>
            </w:tcMar>
            <w:vAlign w:val="center"/>
          </w:tcPr>
          <w:p w14:paraId="6C6B1B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594" w:type="dxa"/>
            <w:noWrap w:val="0"/>
            <w:tcMar>
              <w:top w:w="0" w:type="dxa"/>
              <w:left w:w="0" w:type="dxa"/>
              <w:bottom w:w="0" w:type="dxa"/>
              <w:right w:w="0" w:type="dxa"/>
            </w:tcMar>
            <w:vAlign w:val="center"/>
          </w:tcPr>
          <w:p w14:paraId="0DFBBFA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食品加工工艺基础</w:t>
            </w:r>
          </w:p>
        </w:tc>
        <w:tc>
          <w:tcPr>
            <w:tcW w:w="3448" w:type="dxa"/>
            <w:noWrap w:val="0"/>
            <w:tcMar>
              <w:top w:w="0" w:type="dxa"/>
              <w:left w:w="113" w:type="dxa"/>
              <w:bottom w:w="0" w:type="dxa"/>
              <w:right w:w="113" w:type="dxa"/>
            </w:tcMar>
            <w:vAlign w:val="center"/>
          </w:tcPr>
          <w:p w14:paraId="7E612FD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本课程以研究食品的原材料、半成品和成品的加工及保藏技术原理为基本内容，旨在分析了解外界条件和食品生产中的物理、化学、生物学之间的变化关系</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探索在生产、流通和销售过程中食品腐败变质的原因及其控制方法:研究合理、先进的生产方法及科学的生产工艺。通过本课程的学习，使学生掌握食品保藏及加工的基本原理与方法,为今后进一步学习食品领域的专业课程或从事食品科研、产品开发、工业生产管理及相关领域的工作打下理论基础。</w:t>
            </w:r>
          </w:p>
        </w:tc>
        <w:tc>
          <w:tcPr>
            <w:tcW w:w="4890" w:type="dxa"/>
            <w:noWrap w:val="0"/>
            <w:tcMar>
              <w:top w:w="0" w:type="dxa"/>
              <w:left w:w="113" w:type="dxa"/>
              <w:bottom w:w="0" w:type="dxa"/>
              <w:right w:w="113" w:type="dxa"/>
            </w:tcMar>
            <w:vAlign w:val="center"/>
          </w:tcPr>
          <w:p w14:paraId="14BDBB6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系统学习和掌握食品保藏和加工的基本原理、方法，并能正确运用食品加工技术原理，分析、解决食品加工中的主要问题。掌握食品生产、流通和销售过程中食品腐败变质的原因及其控制方法，深入了解食品原辅材料的性质对加工过程产生的影响，特别是某些特殊成分对产品质量的影响。明确有关食品生产中主要工艺条件和方法的选择依据，进一步掌握工艺理论及其应用。对食品科学技术的新发展应有一定的了解。</w:t>
            </w:r>
          </w:p>
        </w:tc>
        <w:tc>
          <w:tcPr>
            <w:tcW w:w="579" w:type="dxa"/>
            <w:noWrap w:val="0"/>
            <w:tcMar>
              <w:top w:w="0" w:type="dxa"/>
              <w:left w:w="0" w:type="dxa"/>
              <w:bottom w:w="0" w:type="dxa"/>
              <w:right w:w="0" w:type="dxa"/>
            </w:tcMar>
            <w:vAlign w:val="center"/>
          </w:tcPr>
          <w:p w14:paraId="4C52B41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3/54</w:t>
            </w:r>
          </w:p>
        </w:tc>
      </w:tr>
      <w:tr w14:paraId="33C7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95" w:hRule="atLeast"/>
          <w:jc w:val="center"/>
        </w:trPr>
        <w:tc>
          <w:tcPr>
            <w:tcW w:w="594" w:type="dxa"/>
            <w:noWrap w:val="0"/>
            <w:tcMar>
              <w:top w:w="0" w:type="dxa"/>
              <w:left w:w="0" w:type="dxa"/>
              <w:bottom w:w="0" w:type="dxa"/>
              <w:right w:w="0" w:type="dxa"/>
            </w:tcMar>
            <w:vAlign w:val="center"/>
          </w:tcPr>
          <w:p w14:paraId="310AA3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c>
          <w:tcPr>
            <w:tcW w:w="594" w:type="dxa"/>
            <w:noWrap w:val="0"/>
            <w:tcMar>
              <w:top w:w="0" w:type="dxa"/>
              <w:left w:w="0" w:type="dxa"/>
              <w:bottom w:w="0" w:type="dxa"/>
              <w:right w:w="0" w:type="dxa"/>
            </w:tcMar>
            <w:vAlign w:val="center"/>
          </w:tcPr>
          <w:p w14:paraId="1DC5C83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w:t>
            </w:r>
          </w:p>
          <w:p w14:paraId="2B7CCC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法律</w:t>
            </w:r>
          </w:p>
          <w:p w14:paraId="2BF8A95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法规</w:t>
            </w:r>
          </w:p>
          <w:p w14:paraId="4FB727C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与标</w:t>
            </w:r>
          </w:p>
          <w:p w14:paraId="6BF594D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准</w:t>
            </w:r>
          </w:p>
        </w:tc>
        <w:tc>
          <w:tcPr>
            <w:tcW w:w="3448" w:type="dxa"/>
            <w:noWrap w:val="0"/>
            <w:tcMar>
              <w:top w:w="0" w:type="dxa"/>
              <w:left w:w="113" w:type="dxa"/>
              <w:bottom w:w="0" w:type="dxa"/>
              <w:right w:w="113" w:type="dxa"/>
            </w:tcMar>
            <w:vAlign w:val="center"/>
          </w:tcPr>
          <w:p w14:paraId="23CC1C4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通过本课程的学习使学生掌握食品标准、标准化、法规、认证等的基本概念，制定我国食品标准和法律法规的方法，了解并熟悉我国和发达国家的食品法律法规体系、标准体系，食品质量管理体系、食品认证程序和要求等，并能够根据所学具有分析和处理食品违标违法事件的基本能力。</w:t>
            </w:r>
          </w:p>
        </w:tc>
        <w:tc>
          <w:tcPr>
            <w:tcW w:w="4890" w:type="dxa"/>
            <w:noWrap w:val="0"/>
            <w:tcMar>
              <w:top w:w="0" w:type="dxa"/>
              <w:left w:w="113" w:type="dxa"/>
              <w:bottom w:w="0" w:type="dxa"/>
              <w:right w:w="113" w:type="dxa"/>
            </w:tcMar>
            <w:vAlign w:val="center"/>
          </w:tcPr>
          <w:p w14:paraId="13B1F80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研究食品与农产品生产加工、贮运、销售和配送等全过程的法律法规、标准和合格评定程序的一门综合性学科，主要介绍食品的标准和标准化，以及国内外食品标准和相关的法律法规体系。通过学习能够了解和掌握国内外法律法规的知识，能对现实中的案例进行分析和判断。</w:t>
            </w:r>
          </w:p>
        </w:tc>
        <w:tc>
          <w:tcPr>
            <w:tcW w:w="579" w:type="dxa"/>
            <w:noWrap w:val="0"/>
            <w:tcMar>
              <w:top w:w="0" w:type="dxa"/>
              <w:left w:w="0" w:type="dxa"/>
              <w:bottom w:w="0" w:type="dxa"/>
              <w:right w:w="0" w:type="dxa"/>
            </w:tcMar>
            <w:vAlign w:val="center"/>
          </w:tcPr>
          <w:p w14:paraId="2B289F2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6/108</w:t>
            </w:r>
          </w:p>
        </w:tc>
      </w:tr>
      <w:tr w14:paraId="6F88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62" w:hRule="atLeast"/>
          <w:jc w:val="center"/>
        </w:trPr>
        <w:tc>
          <w:tcPr>
            <w:tcW w:w="594" w:type="dxa"/>
            <w:noWrap w:val="0"/>
            <w:tcMar>
              <w:top w:w="0" w:type="dxa"/>
              <w:left w:w="0" w:type="dxa"/>
              <w:bottom w:w="0" w:type="dxa"/>
              <w:right w:w="0" w:type="dxa"/>
            </w:tcMar>
            <w:vAlign w:val="center"/>
          </w:tcPr>
          <w:p w14:paraId="30D426F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w:t>
            </w:r>
          </w:p>
        </w:tc>
        <w:tc>
          <w:tcPr>
            <w:tcW w:w="594" w:type="dxa"/>
            <w:noWrap w:val="0"/>
            <w:tcMar>
              <w:top w:w="0" w:type="dxa"/>
              <w:left w:w="0" w:type="dxa"/>
              <w:bottom w:w="0" w:type="dxa"/>
              <w:right w:w="0" w:type="dxa"/>
            </w:tcMar>
            <w:vAlign w:val="center"/>
          </w:tcPr>
          <w:p w14:paraId="0D05FA2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乳制</w:t>
            </w:r>
          </w:p>
          <w:p w14:paraId="407F095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品加</w:t>
            </w:r>
          </w:p>
          <w:p w14:paraId="6EE9B80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工工</w:t>
            </w:r>
          </w:p>
          <w:p w14:paraId="437AFFA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艺</w:t>
            </w:r>
          </w:p>
        </w:tc>
        <w:tc>
          <w:tcPr>
            <w:tcW w:w="3448" w:type="dxa"/>
            <w:noWrap w:val="0"/>
            <w:tcMar>
              <w:top w:w="0" w:type="dxa"/>
              <w:left w:w="113" w:type="dxa"/>
              <w:bottom w:w="0" w:type="dxa"/>
              <w:right w:w="113" w:type="dxa"/>
            </w:tcMar>
            <w:vAlign w:val="center"/>
          </w:tcPr>
          <w:p w14:paraId="1F62DFB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通过本课程的学习，使学生获得从事乳制品加工技术职业岗位必要的专业知识和基本技能，注重培养学生具备良好的食品职业道德意识，达到乳品企业要求的职业技能水平，成为企业需要的技能专业人才。</w:t>
            </w:r>
          </w:p>
        </w:tc>
        <w:tc>
          <w:tcPr>
            <w:tcW w:w="4890" w:type="dxa"/>
            <w:noWrap w:val="0"/>
            <w:tcMar>
              <w:top w:w="0" w:type="dxa"/>
              <w:left w:w="113" w:type="dxa"/>
              <w:bottom w:w="0" w:type="dxa"/>
              <w:right w:w="113" w:type="dxa"/>
            </w:tcMar>
            <w:vAlign w:val="center"/>
          </w:tcPr>
          <w:p w14:paraId="751887B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乳制品加工技术课程围绕乳制品企业典型工作岗位要求,以产品生产过程和生产工艺为载体，构建学习情境，主要学习典型乳制品的加工工艺过程、品质检验、质量控制、产品营销、乳制品加工综合应用以及设备的操作、清洗与保养。</w:t>
            </w:r>
          </w:p>
          <w:p w14:paraId="6547CED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使学生通过该课程的学习后能完全胜任乳品企业的工作岗位,同时通过第二课堂养学生的综合应用和创新创业能力。</w:t>
            </w:r>
          </w:p>
        </w:tc>
        <w:tc>
          <w:tcPr>
            <w:tcW w:w="579" w:type="dxa"/>
            <w:noWrap w:val="0"/>
            <w:tcMar>
              <w:top w:w="0" w:type="dxa"/>
              <w:left w:w="0" w:type="dxa"/>
              <w:bottom w:w="0" w:type="dxa"/>
              <w:right w:w="0" w:type="dxa"/>
            </w:tcMar>
            <w:vAlign w:val="center"/>
          </w:tcPr>
          <w:p w14:paraId="0E644B0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4/72</w:t>
            </w:r>
          </w:p>
        </w:tc>
      </w:tr>
      <w:tr w14:paraId="1646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77" w:hRule="atLeast"/>
          <w:jc w:val="center"/>
        </w:trPr>
        <w:tc>
          <w:tcPr>
            <w:tcW w:w="594" w:type="dxa"/>
            <w:noWrap w:val="0"/>
            <w:tcMar>
              <w:top w:w="0" w:type="dxa"/>
              <w:left w:w="0" w:type="dxa"/>
              <w:bottom w:w="0" w:type="dxa"/>
              <w:right w:w="0" w:type="dxa"/>
            </w:tcMar>
            <w:vAlign w:val="center"/>
          </w:tcPr>
          <w:p w14:paraId="358F2C9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p>
        </w:tc>
        <w:tc>
          <w:tcPr>
            <w:tcW w:w="594" w:type="dxa"/>
            <w:noWrap w:val="0"/>
            <w:tcMar>
              <w:top w:w="0" w:type="dxa"/>
              <w:left w:w="0" w:type="dxa"/>
              <w:bottom w:w="0" w:type="dxa"/>
              <w:right w:w="0" w:type="dxa"/>
            </w:tcMar>
            <w:vAlign w:val="center"/>
          </w:tcPr>
          <w:p w14:paraId="6C24505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蛋糕</w:t>
            </w:r>
          </w:p>
          <w:p w14:paraId="0E6B2DD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裱花</w:t>
            </w:r>
          </w:p>
          <w:p w14:paraId="323FDAE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工艺</w:t>
            </w:r>
          </w:p>
        </w:tc>
        <w:tc>
          <w:tcPr>
            <w:tcW w:w="3448" w:type="dxa"/>
            <w:noWrap w:val="0"/>
            <w:tcMar>
              <w:top w:w="0" w:type="dxa"/>
              <w:left w:w="113" w:type="dxa"/>
              <w:bottom w:w="0" w:type="dxa"/>
              <w:right w:w="113" w:type="dxa"/>
            </w:tcMar>
            <w:vAlign w:val="center"/>
          </w:tcPr>
          <w:p w14:paraId="1AEBBB2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本课程的学习，掌握蛋糕裱花的操作理论及实践要领，能根据不同的场景需求对裱花的元素进行设计和搭配。培养学生动手操作的以及欣赏美、创造美的能力，提升学生动手能力，为学生成为蛋糕装饰师打下坚实的基础。</w:t>
            </w:r>
          </w:p>
        </w:tc>
        <w:tc>
          <w:tcPr>
            <w:tcW w:w="4890" w:type="dxa"/>
            <w:noWrap w:val="0"/>
            <w:tcMar>
              <w:top w:w="0" w:type="dxa"/>
              <w:left w:w="113" w:type="dxa"/>
              <w:bottom w:w="0" w:type="dxa"/>
              <w:right w:w="113" w:type="dxa"/>
            </w:tcMar>
            <w:vAlign w:val="center"/>
          </w:tcPr>
          <w:p w14:paraId="3FD1835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本课程主要内容包括：蛋糕裱花的基础知识、裱花的基本功练习、常见花边裱花、常见花卉的裱法、卡通蛋糕、象形蛋糕、其他类蛋糕、巧克力配件、手绘蛋糕、复古蛋糕等。</w:t>
            </w:r>
          </w:p>
          <w:p w14:paraId="5B00C7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使学生了解蛋糕裱花的基础知识，具备蛋糕裱花的技能，能够针通过本课程的学习，对不同的场景需求对裱花的内容进行设计和制作，对接蛋糕装饰师岗位，达到四级西式面点师中裱花版块的相应要求。</w:t>
            </w:r>
          </w:p>
        </w:tc>
        <w:tc>
          <w:tcPr>
            <w:tcW w:w="579" w:type="dxa"/>
            <w:noWrap w:val="0"/>
            <w:tcMar>
              <w:top w:w="0" w:type="dxa"/>
              <w:left w:w="0" w:type="dxa"/>
              <w:bottom w:w="0" w:type="dxa"/>
              <w:right w:w="0" w:type="dxa"/>
            </w:tcMar>
            <w:vAlign w:val="center"/>
          </w:tcPr>
          <w:p w14:paraId="5807DFE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4/72</w:t>
            </w:r>
          </w:p>
        </w:tc>
      </w:tr>
      <w:tr w14:paraId="7B74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0" w:hRule="atLeast"/>
          <w:jc w:val="center"/>
        </w:trPr>
        <w:tc>
          <w:tcPr>
            <w:tcW w:w="594" w:type="dxa"/>
            <w:noWrap w:val="0"/>
            <w:tcMar>
              <w:top w:w="0" w:type="dxa"/>
              <w:left w:w="0" w:type="dxa"/>
              <w:bottom w:w="0" w:type="dxa"/>
              <w:right w:w="0" w:type="dxa"/>
            </w:tcMar>
            <w:vAlign w:val="center"/>
          </w:tcPr>
          <w:p w14:paraId="175242A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w:t>
            </w:r>
          </w:p>
        </w:tc>
        <w:tc>
          <w:tcPr>
            <w:tcW w:w="594" w:type="dxa"/>
            <w:noWrap w:val="0"/>
            <w:tcMar>
              <w:top w:w="0" w:type="dxa"/>
              <w:left w:w="0" w:type="dxa"/>
              <w:bottom w:w="0" w:type="dxa"/>
              <w:right w:w="0" w:type="dxa"/>
            </w:tcMar>
            <w:vAlign w:val="center"/>
          </w:tcPr>
          <w:p w14:paraId="0BAA64A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饮料加工工艺</w:t>
            </w:r>
          </w:p>
        </w:tc>
        <w:tc>
          <w:tcPr>
            <w:tcW w:w="3448" w:type="dxa"/>
            <w:noWrap w:val="0"/>
            <w:tcMar>
              <w:top w:w="0" w:type="dxa"/>
              <w:left w:w="113" w:type="dxa"/>
              <w:bottom w:w="0" w:type="dxa"/>
              <w:right w:w="113" w:type="dxa"/>
            </w:tcMar>
            <w:vAlign w:val="center"/>
          </w:tcPr>
          <w:p w14:paraId="70CCCA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本课程的学习，使学生获得饮料加工技术必要的基本理论、基本知识和基本技能，掌握饮料加工生产过程中设备选型、原料选择、原料前处理、加工方式、不同原料的加工特点等，为今后从事饮料加工工作奠定基础。</w:t>
            </w:r>
          </w:p>
        </w:tc>
        <w:tc>
          <w:tcPr>
            <w:tcW w:w="4890" w:type="dxa"/>
            <w:noWrap w:val="0"/>
            <w:tcMar>
              <w:top w:w="0" w:type="dxa"/>
              <w:left w:w="113" w:type="dxa"/>
              <w:bottom w:w="0" w:type="dxa"/>
              <w:right w:w="113" w:type="dxa"/>
            </w:tcMar>
            <w:vAlign w:val="center"/>
          </w:tcPr>
          <w:p w14:paraId="57E256D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本课程主要内容包括：绪论、饮料用水及处理、甜味料与酸味料、其它原辅料、碳酸饮料、果汁及蔬菜汁、蛋白饮料、矿泉水、固体饮料、冷饮与其它饮料。</w:t>
            </w:r>
          </w:p>
          <w:p w14:paraId="12E3088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使学生掌握饮料生产过程的水处理，原辅料及食品添加剂的生化和加工特性，碳酸饮料、果蔬汁饮料、蛋白饮料、矿泉水、固体饮料、冷饮、保健饮料等饮料的生产工艺、技术要点和配方等，具备我国软饮料企业工作所需基本知识。</w:t>
            </w:r>
          </w:p>
        </w:tc>
        <w:tc>
          <w:tcPr>
            <w:tcW w:w="579" w:type="dxa"/>
            <w:noWrap w:val="0"/>
            <w:tcMar>
              <w:top w:w="0" w:type="dxa"/>
              <w:left w:w="0" w:type="dxa"/>
              <w:bottom w:w="0" w:type="dxa"/>
              <w:right w:w="0" w:type="dxa"/>
            </w:tcMar>
            <w:vAlign w:val="center"/>
          </w:tcPr>
          <w:p w14:paraId="3E6D8BA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2/36</w:t>
            </w:r>
          </w:p>
        </w:tc>
      </w:tr>
      <w:tr w14:paraId="7066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04" w:hRule="atLeast"/>
          <w:jc w:val="center"/>
        </w:trPr>
        <w:tc>
          <w:tcPr>
            <w:tcW w:w="594" w:type="dxa"/>
            <w:noWrap w:val="0"/>
            <w:tcMar>
              <w:top w:w="0" w:type="dxa"/>
              <w:left w:w="0" w:type="dxa"/>
              <w:bottom w:w="0" w:type="dxa"/>
              <w:right w:w="0" w:type="dxa"/>
            </w:tcMar>
            <w:vAlign w:val="center"/>
          </w:tcPr>
          <w:p w14:paraId="5F2AF62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594" w:type="dxa"/>
            <w:noWrap w:val="0"/>
            <w:tcMar>
              <w:top w:w="0" w:type="dxa"/>
              <w:left w:w="0" w:type="dxa"/>
              <w:bottom w:w="0" w:type="dxa"/>
              <w:right w:w="0" w:type="dxa"/>
            </w:tcMar>
            <w:vAlign w:val="center"/>
          </w:tcPr>
          <w:p w14:paraId="37A1A6C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食品发酵技术</w:t>
            </w:r>
          </w:p>
        </w:tc>
        <w:tc>
          <w:tcPr>
            <w:tcW w:w="3448" w:type="dxa"/>
            <w:noWrap w:val="0"/>
            <w:tcMar>
              <w:top w:w="0" w:type="dxa"/>
              <w:left w:w="113" w:type="dxa"/>
              <w:bottom w:w="0" w:type="dxa"/>
              <w:right w:w="113" w:type="dxa"/>
            </w:tcMar>
            <w:vAlign w:val="center"/>
          </w:tcPr>
          <w:p w14:paraId="0F876B5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通过本课程的学习，使学生获得必要的</w:t>
            </w:r>
            <w:r>
              <w:rPr>
                <w:rFonts w:hint="eastAsia" w:asciiTheme="minorEastAsia" w:hAnsiTheme="minorEastAsia" w:eastAsiaTheme="minorEastAsia" w:cstheme="minorEastAsia"/>
                <w:sz w:val="24"/>
                <w:szCs w:val="24"/>
                <w:lang w:val="en-US" w:eastAsia="zh-CN"/>
              </w:rPr>
              <w:t>食品发酵</w:t>
            </w:r>
            <w:r>
              <w:rPr>
                <w:rFonts w:hint="eastAsia" w:asciiTheme="minorEastAsia" w:hAnsiTheme="minorEastAsia" w:eastAsiaTheme="minorEastAsia" w:cstheme="minorEastAsia"/>
                <w:sz w:val="24"/>
                <w:szCs w:val="24"/>
              </w:rPr>
              <w:t>基础知识和基本加工技能，理解各类</w:t>
            </w:r>
            <w:r>
              <w:rPr>
                <w:rFonts w:hint="eastAsia" w:asciiTheme="minorEastAsia" w:hAnsiTheme="minorEastAsia" w:eastAsiaTheme="minorEastAsia" w:cstheme="minorEastAsia"/>
                <w:sz w:val="24"/>
                <w:szCs w:val="24"/>
                <w:lang w:val="en-US" w:eastAsia="zh-CN"/>
              </w:rPr>
              <w:t>食品发酵</w:t>
            </w:r>
            <w:r>
              <w:rPr>
                <w:rFonts w:hint="eastAsia" w:asciiTheme="minorEastAsia" w:hAnsiTheme="minorEastAsia" w:eastAsiaTheme="minorEastAsia" w:cstheme="minorEastAsia"/>
                <w:sz w:val="24"/>
                <w:szCs w:val="24"/>
              </w:rPr>
              <w:t>制品制作原理及概念。培养学生初步具有创新思维和分析问题、解决问题的能力，并能制定具体产品的工艺流程，切实提高学生的实际动手能力和处理实际问题的综合素质能力。</w:t>
            </w:r>
          </w:p>
        </w:tc>
        <w:tc>
          <w:tcPr>
            <w:tcW w:w="4890" w:type="dxa"/>
            <w:noWrap w:val="0"/>
            <w:tcMar>
              <w:top w:w="0" w:type="dxa"/>
              <w:left w:w="113" w:type="dxa"/>
              <w:bottom w:w="0" w:type="dxa"/>
              <w:right w:w="113" w:type="dxa"/>
            </w:tcMar>
            <w:vAlign w:val="center"/>
          </w:tcPr>
          <w:p w14:paraId="44A0F25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本课程主要内容包括：发酵食品与微生物，固态发酵食醋、果醋、酱油发酵、腐乳、酸乳、味精、白酒、葡萄酒等发酵生产技术。</w:t>
            </w:r>
          </w:p>
          <w:p w14:paraId="3BBA3FA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通过本课程的学习，使学生了解食品发酵的原辅材料、工艺配方及基本加工理论和加工基本技能，培养学生分析问题和解决问题的能力，并提高其应用能力水平，能根据要求选择合适的食品原辅材料。</w:t>
            </w:r>
          </w:p>
        </w:tc>
        <w:tc>
          <w:tcPr>
            <w:tcW w:w="579" w:type="dxa"/>
            <w:noWrap w:val="0"/>
            <w:tcMar>
              <w:top w:w="0" w:type="dxa"/>
              <w:left w:w="0" w:type="dxa"/>
              <w:bottom w:w="0" w:type="dxa"/>
              <w:right w:w="0" w:type="dxa"/>
            </w:tcMar>
            <w:vAlign w:val="center"/>
          </w:tcPr>
          <w:p w14:paraId="3F181B4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4/72</w:t>
            </w:r>
          </w:p>
        </w:tc>
      </w:tr>
      <w:tr w14:paraId="08AC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jc w:val="center"/>
        </w:trPr>
        <w:tc>
          <w:tcPr>
            <w:tcW w:w="594" w:type="dxa"/>
            <w:noWrap w:val="0"/>
            <w:tcMar>
              <w:top w:w="0" w:type="dxa"/>
              <w:left w:w="0" w:type="dxa"/>
              <w:bottom w:w="0" w:type="dxa"/>
              <w:right w:w="0" w:type="dxa"/>
            </w:tcMar>
            <w:vAlign w:val="center"/>
          </w:tcPr>
          <w:p w14:paraId="1C87F2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594" w:type="dxa"/>
            <w:noWrap w:val="0"/>
            <w:tcMar>
              <w:top w:w="0" w:type="dxa"/>
              <w:left w:w="0" w:type="dxa"/>
              <w:bottom w:w="0" w:type="dxa"/>
              <w:right w:w="0" w:type="dxa"/>
            </w:tcMar>
            <w:vAlign w:val="center"/>
          </w:tcPr>
          <w:p w14:paraId="2F4AB1A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w:t>
            </w:r>
          </w:p>
          <w:p w14:paraId="1271F42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理化</w:t>
            </w:r>
          </w:p>
          <w:p w14:paraId="501B409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分析</w:t>
            </w:r>
          </w:p>
          <w:p w14:paraId="59EACF9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与检</w:t>
            </w:r>
          </w:p>
          <w:p w14:paraId="67707EF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验</w:t>
            </w:r>
          </w:p>
        </w:tc>
        <w:tc>
          <w:tcPr>
            <w:tcW w:w="3448" w:type="dxa"/>
            <w:noWrap w:val="0"/>
            <w:tcMar>
              <w:top w:w="0" w:type="dxa"/>
              <w:left w:w="113" w:type="dxa"/>
              <w:bottom w:w="0" w:type="dxa"/>
              <w:right w:w="113" w:type="dxa"/>
            </w:tcMar>
            <w:vAlign w:val="center"/>
          </w:tcPr>
          <w:p w14:paraId="0A3AD2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通过本课程的学习,掌握食品一般营养成分及添加剂分析的基本原理及相关方法和实验操作技能，能完成本专业相关岗位的工作任务，养成良好的职业道德和文明生产习惯，胜任食品检验检测岗位工作。</w:t>
            </w:r>
          </w:p>
        </w:tc>
        <w:tc>
          <w:tcPr>
            <w:tcW w:w="4890" w:type="dxa"/>
            <w:noWrap w:val="0"/>
            <w:tcMar>
              <w:top w:w="0" w:type="dxa"/>
              <w:left w:w="113" w:type="dxa"/>
              <w:bottom w:w="0" w:type="dxa"/>
              <w:right w:w="113" w:type="dxa"/>
            </w:tcMar>
            <w:vAlign w:val="center"/>
          </w:tcPr>
          <w:p w14:paraId="5D7E9CB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本课程主要内容包括：果蔬及其制品检验、肉及肉制品检验、粮油及其制品检验、乳及乳制品检验及相应实训等。</w:t>
            </w:r>
          </w:p>
          <w:p w14:paraId="1B24DD7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使学生熟悉食品理化检验的程序及相关标准;理解项目检验的原理，掌握操作要求;培养学生具有制定检验方案的能力、独立操作的能力、正确处理检验数据的能力；具有严谨求实、拓展创新、团结协作综合职业素养。同时，通过食品检验工技能考证检验学生岗位实践操作能力。</w:t>
            </w:r>
          </w:p>
        </w:tc>
        <w:tc>
          <w:tcPr>
            <w:tcW w:w="579" w:type="dxa"/>
            <w:noWrap w:val="0"/>
            <w:tcMar>
              <w:top w:w="0" w:type="dxa"/>
              <w:left w:w="0" w:type="dxa"/>
              <w:bottom w:w="0" w:type="dxa"/>
              <w:right w:w="0" w:type="dxa"/>
            </w:tcMar>
            <w:vAlign w:val="center"/>
          </w:tcPr>
          <w:p w14:paraId="60C1598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12/216</w:t>
            </w:r>
          </w:p>
        </w:tc>
      </w:tr>
      <w:tr w14:paraId="1260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0" w:hRule="atLeast"/>
          <w:jc w:val="center"/>
        </w:trPr>
        <w:tc>
          <w:tcPr>
            <w:tcW w:w="594" w:type="dxa"/>
            <w:noWrap w:val="0"/>
            <w:tcMar>
              <w:top w:w="0" w:type="dxa"/>
              <w:left w:w="0" w:type="dxa"/>
              <w:bottom w:w="0" w:type="dxa"/>
              <w:right w:w="0" w:type="dxa"/>
            </w:tcMar>
            <w:vAlign w:val="center"/>
          </w:tcPr>
          <w:p w14:paraId="3158540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594" w:type="dxa"/>
            <w:noWrap w:val="0"/>
            <w:tcMar>
              <w:top w:w="0" w:type="dxa"/>
              <w:left w:w="0" w:type="dxa"/>
              <w:bottom w:w="0" w:type="dxa"/>
              <w:right w:w="0" w:type="dxa"/>
            </w:tcMar>
            <w:vAlign w:val="center"/>
          </w:tcPr>
          <w:p w14:paraId="74605D3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w:t>
            </w:r>
          </w:p>
          <w:p w14:paraId="49B7471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微生</w:t>
            </w:r>
          </w:p>
          <w:p w14:paraId="082AB9A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物检</w:t>
            </w:r>
          </w:p>
          <w:p w14:paraId="691C4CD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验</w:t>
            </w:r>
          </w:p>
        </w:tc>
        <w:tc>
          <w:tcPr>
            <w:tcW w:w="3448" w:type="dxa"/>
            <w:noWrap w:val="0"/>
            <w:tcMar>
              <w:top w:w="0" w:type="dxa"/>
              <w:left w:w="113" w:type="dxa"/>
              <w:bottom w:w="0" w:type="dxa"/>
              <w:right w:w="113" w:type="dxa"/>
            </w:tcMar>
            <w:vAlign w:val="center"/>
          </w:tcPr>
          <w:p w14:paraId="6B62AF1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本课程利用食品生物化学和食品微生物学的理论和方法，研究各级各类食品微生物检验的指标，食物中毒性微生物、常见病原微生物的生物学特性、致病性及检验方法等，从而使学生掌握防治食品微生物的污染及其检测，能从事食品检验机构、食品企业的微生物检验的操作及技术工作。</w:t>
            </w:r>
          </w:p>
        </w:tc>
        <w:tc>
          <w:tcPr>
            <w:tcW w:w="4890" w:type="dxa"/>
            <w:noWrap w:val="0"/>
            <w:tcMar>
              <w:top w:w="0" w:type="dxa"/>
              <w:left w:w="113" w:type="dxa"/>
              <w:bottom w:w="0" w:type="dxa"/>
              <w:right w:w="113" w:type="dxa"/>
            </w:tcMar>
            <w:vAlign w:val="center"/>
          </w:tcPr>
          <w:p w14:paraId="6B60B27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微生物检验以食品微生物学的理论为基础，对食品微生物污染及控制措施、以微生物为主的因素引起的食品腐败变质、食品检验样品的采集及处理作扼要介绍；着重介绍食品微生物检验的指标，食物中毒性微生物、常见病原微生物的生物学特性、致病性及检验方法:系统阐述了肉、蛋、乳、水产品及其制品、罐头食品的微生物学检验方法。</w:t>
            </w:r>
          </w:p>
          <w:p w14:paraId="62E08B4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通过本课程的学习，使学生掌握食品微生物检验的基本原理与方法，注重培养学生的实际操作能力。</w:t>
            </w:r>
          </w:p>
        </w:tc>
        <w:tc>
          <w:tcPr>
            <w:tcW w:w="579" w:type="dxa"/>
            <w:noWrap w:val="0"/>
            <w:tcMar>
              <w:top w:w="0" w:type="dxa"/>
              <w:left w:w="0" w:type="dxa"/>
              <w:bottom w:w="0" w:type="dxa"/>
              <w:right w:w="0" w:type="dxa"/>
            </w:tcMar>
            <w:vAlign w:val="center"/>
          </w:tcPr>
          <w:p w14:paraId="1D2DE14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10/180</w:t>
            </w:r>
          </w:p>
        </w:tc>
      </w:tr>
      <w:tr w14:paraId="41E9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jc w:val="center"/>
        </w:trPr>
        <w:tc>
          <w:tcPr>
            <w:tcW w:w="594" w:type="dxa"/>
            <w:noWrap w:val="0"/>
            <w:tcMar>
              <w:top w:w="0" w:type="dxa"/>
              <w:left w:w="0" w:type="dxa"/>
              <w:bottom w:w="0" w:type="dxa"/>
              <w:right w:w="0" w:type="dxa"/>
            </w:tcMar>
            <w:vAlign w:val="center"/>
          </w:tcPr>
          <w:p w14:paraId="6399ECD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594" w:type="dxa"/>
            <w:noWrap w:val="0"/>
            <w:tcMar>
              <w:top w:w="0" w:type="dxa"/>
              <w:left w:w="0" w:type="dxa"/>
              <w:bottom w:w="0" w:type="dxa"/>
              <w:right w:w="0" w:type="dxa"/>
            </w:tcMar>
            <w:vAlign w:val="center"/>
          </w:tcPr>
          <w:p w14:paraId="31D76B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食品安全与质量控制</w:t>
            </w:r>
          </w:p>
        </w:tc>
        <w:tc>
          <w:tcPr>
            <w:tcW w:w="3448" w:type="dxa"/>
            <w:noWrap w:val="0"/>
            <w:tcMar>
              <w:top w:w="0" w:type="dxa"/>
              <w:left w:w="113" w:type="dxa"/>
              <w:bottom w:w="0" w:type="dxa"/>
              <w:right w:w="113" w:type="dxa"/>
            </w:tcMar>
            <w:vAlign w:val="center"/>
          </w:tcPr>
          <w:p w14:paraId="3125C53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本课程是专门研究各种影响食品安全的因素、安全性评价方法、质量管理和控制的技术与基本理论，进而对食品质量与安全进行管理和控制的一门技术性学科。它是食品检验专业的一门专业课程。</w:t>
            </w:r>
          </w:p>
          <w:p w14:paraId="35AA10B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zh-CN"/>
              </w:rPr>
              <w:t>通过本课程的学习，使学生能基本掌握食品安全与质量控制的基本理论和技术方法，并能应用所学质量控制技术对食品质量和安全性进行管理和控制，从而解决工作中的各种实际问题。</w:t>
            </w:r>
          </w:p>
        </w:tc>
        <w:tc>
          <w:tcPr>
            <w:tcW w:w="4890" w:type="dxa"/>
            <w:noWrap w:val="0"/>
            <w:tcMar>
              <w:top w:w="0" w:type="dxa"/>
              <w:left w:w="113" w:type="dxa"/>
              <w:bottom w:w="0" w:type="dxa"/>
              <w:right w:w="113" w:type="dxa"/>
            </w:tcMar>
            <w:vAlign w:val="center"/>
          </w:tcPr>
          <w:p w14:paraId="5258BAB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本课程主要学习内容为：食品安全的形成与发展、食品安全性的评价、食品安全影响因素、食品质量管理与安全控制技术、食品质量控制技术的应用、食品质量控制与设计等。</w:t>
            </w:r>
          </w:p>
          <w:p w14:paraId="6A5C24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首先使学生掌握影响食品安全的一些重要因素，并能够进行食品安全性评价；其次使学生掌握食品质量管理与控制的一些重要技术和方法；再次使学生掌握食品质量的设计的一些基本理论和方法，并能利用这些技术有效地进行企业产品质量设计；最后则使学生掌握一些国际国内有关食品法规与标准，以适应当前的国内国际食品贸易等。</w:t>
            </w:r>
          </w:p>
        </w:tc>
        <w:tc>
          <w:tcPr>
            <w:tcW w:w="579" w:type="dxa"/>
            <w:noWrap w:val="0"/>
            <w:tcMar>
              <w:top w:w="0" w:type="dxa"/>
              <w:left w:w="0" w:type="dxa"/>
              <w:bottom w:w="0" w:type="dxa"/>
              <w:right w:w="0" w:type="dxa"/>
            </w:tcMar>
            <w:vAlign w:val="center"/>
          </w:tcPr>
          <w:p w14:paraId="068E8EE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6/108</w:t>
            </w:r>
          </w:p>
        </w:tc>
      </w:tr>
      <w:tr w14:paraId="262B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1" w:hRule="atLeast"/>
          <w:jc w:val="center"/>
        </w:trPr>
        <w:tc>
          <w:tcPr>
            <w:tcW w:w="594" w:type="dxa"/>
            <w:noWrap w:val="0"/>
            <w:tcMar>
              <w:top w:w="0" w:type="dxa"/>
              <w:left w:w="0" w:type="dxa"/>
              <w:bottom w:w="0" w:type="dxa"/>
              <w:right w:w="0" w:type="dxa"/>
            </w:tcMar>
            <w:vAlign w:val="center"/>
          </w:tcPr>
          <w:p w14:paraId="2AAE38E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594" w:type="dxa"/>
            <w:noWrap w:val="0"/>
            <w:tcMar>
              <w:top w:w="0" w:type="dxa"/>
              <w:left w:w="0" w:type="dxa"/>
              <w:bottom w:w="0" w:type="dxa"/>
              <w:right w:w="0" w:type="dxa"/>
            </w:tcMar>
            <w:vAlign w:val="center"/>
          </w:tcPr>
          <w:p w14:paraId="3E2B54E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食品贮运与保鲜技术</w:t>
            </w:r>
          </w:p>
        </w:tc>
        <w:tc>
          <w:tcPr>
            <w:tcW w:w="3448" w:type="dxa"/>
            <w:noWrap w:val="0"/>
            <w:tcMar>
              <w:top w:w="0" w:type="dxa"/>
              <w:left w:w="113" w:type="dxa"/>
              <w:bottom w:w="0" w:type="dxa"/>
              <w:right w:w="113" w:type="dxa"/>
            </w:tcMar>
            <w:vAlign w:val="center"/>
          </w:tcPr>
          <w:p w14:paraId="1984E3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通过本课程的学习，使学生了解和掌握关于食品贮藏保鲜的基本理论、技术方法和该领域国内外的最新研究进展，课程通过大量的实例介绍主要动、植物原料及其加工食品贮藏保鲜的实用技术，力求体现食品科学发展的特点。</w:t>
            </w:r>
          </w:p>
        </w:tc>
        <w:tc>
          <w:tcPr>
            <w:tcW w:w="4890" w:type="dxa"/>
            <w:noWrap w:val="0"/>
            <w:tcMar>
              <w:top w:w="0" w:type="dxa"/>
              <w:left w:w="113" w:type="dxa"/>
              <w:bottom w:w="0" w:type="dxa"/>
              <w:right w:w="113" w:type="dxa"/>
            </w:tcMar>
            <w:vAlign w:val="center"/>
          </w:tcPr>
          <w:p w14:paraId="7DEB31D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本课程主要内容包括:食品的品质基础、食品贮藏保鲜原理、食品贮藏保鲜方法、鲜活和生鲜食品贮藏保鲜、加工食品贮藏、食品流通中的保鲜技术等。课程将理论与实践相结合，通俗易懂。</w:t>
            </w:r>
          </w:p>
          <w:p w14:paraId="00F4B0C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要求掌握蒸气压缩式制冷循环的工作原理及简单的热力计算方法；掌握单级、双级压缩制冷压缩机的工作原理及其热力计算方法；了解各种制冷设备的结构、作用等;掌握食品冷却、冻结、气调保鲜的原理与方法，了解食品冷却、冻结、气调保鲜的设备与工作原理；了解食品冷库的简单设计和设备选用:掌掘食品冷藏链的概念，了解冷藏运输的基本手段。</w:t>
            </w:r>
          </w:p>
        </w:tc>
        <w:tc>
          <w:tcPr>
            <w:tcW w:w="579" w:type="dxa"/>
            <w:noWrap w:val="0"/>
            <w:tcMar>
              <w:top w:w="0" w:type="dxa"/>
              <w:left w:w="0" w:type="dxa"/>
              <w:bottom w:w="0" w:type="dxa"/>
              <w:right w:w="0" w:type="dxa"/>
            </w:tcMar>
            <w:vAlign w:val="center"/>
          </w:tcPr>
          <w:p w14:paraId="1FE6D64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6/108</w:t>
            </w:r>
          </w:p>
        </w:tc>
      </w:tr>
    </w:tbl>
    <w:p w14:paraId="62E3EAC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rPr>
      </w:pPr>
    </w:p>
    <w:p w14:paraId="437FB1F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3.专业选修课程</w:t>
      </w:r>
    </w:p>
    <w:tbl>
      <w:tblPr>
        <w:tblStyle w:val="16"/>
        <w:tblW w:w="10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94"/>
        <w:gridCol w:w="594"/>
        <w:gridCol w:w="3448"/>
        <w:gridCol w:w="4890"/>
        <w:gridCol w:w="579"/>
      </w:tblGrid>
      <w:tr w14:paraId="5C0F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9" w:hRule="atLeast"/>
          <w:jc w:val="center"/>
        </w:trPr>
        <w:tc>
          <w:tcPr>
            <w:tcW w:w="594" w:type="dxa"/>
            <w:noWrap w:val="0"/>
            <w:vAlign w:val="center"/>
          </w:tcPr>
          <w:p w14:paraId="786E3B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bookmarkStart w:id="25" w:name="_Toc149212743"/>
            <w:bookmarkStart w:id="26" w:name="_Toc1697700118_WPSOffice_Level1"/>
            <w:bookmarkStart w:id="27" w:name="_Toc14533"/>
            <w:bookmarkStart w:id="28" w:name="_Toc28661"/>
            <w:bookmarkStart w:id="29" w:name="_Toc26173"/>
            <w:bookmarkStart w:id="30" w:name="_Toc113290236"/>
            <w:bookmarkStart w:id="31" w:name="_Toc5024"/>
            <w:bookmarkStart w:id="32" w:name="_Toc31971"/>
            <w:r>
              <w:rPr>
                <w:rFonts w:hint="eastAsia" w:asciiTheme="minorEastAsia" w:hAnsiTheme="minorEastAsia" w:eastAsiaTheme="minorEastAsia" w:cstheme="minorEastAsia"/>
                <w:sz w:val="24"/>
                <w:szCs w:val="24"/>
                <w:lang w:val="en-US" w:eastAsia="zh-CN"/>
              </w:rPr>
              <w:t>序号</w:t>
            </w:r>
          </w:p>
        </w:tc>
        <w:tc>
          <w:tcPr>
            <w:tcW w:w="594" w:type="dxa"/>
            <w:noWrap w:val="0"/>
            <w:vAlign w:val="center"/>
          </w:tcPr>
          <w:p w14:paraId="1F8B26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课程名称</w:t>
            </w:r>
          </w:p>
        </w:tc>
        <w:tc>
          <w:tcPr>
            <w:tcW w:w="3448" w:type="dxa"/>
            <w:noWrap w:val="0"/>
            <w:vAlign w:val="center"/>
          </w:tcPr>
          <w:p w14:paraId="7CF4B58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课程目标</w:t>
            </w:r>
          </w:p>
        </w:tc>
        <w:tc>
          <w:tcPr>
            <w:tcW w:w="4890" w:type="dxa"/>
            <w:noWrap w:val="0"/>
            <w:vAlign w:val="center"/>
          </w:tcPr>
          <w:p w14:paraId="7EF9E65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主要教学内容和要求</w:t>
            </w:r>
          </w:p>
        </w:tc>
        <w:tc>
          <w:tcPr>
            <w:tcW w:w="579" w:type="dxa"/>
            <w:noWrap w:val="0"/>
            <w:vAlign w:val="center"/>
          </w:tcPr>
          <w:p w14:paraId="1BCA4AF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学分/学时</w:t>
            </w:r>
          </w:p>
        </w:tc>
      </w:tr>
      <w:tr w14:paraId="3C91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42" w:hRule="atLeast"/>
          <w:jc w:val="center"/>
        </w:trPr>
        <w:tc>
          <w:tcPr>
            <w:tcW w:w="594" w:type="dxa"/>
            <w:noWrap w:val="0"/>
            <w:tcMar>
              <w:top w:w="0" w:type="dxa"/>
              <w:left w:w="0" w:type="dxa"/>
              <w:bottom w:w="0" w:type="dxa"/>
              <w:right w:w="0" w:type="dxa"/>
            </w:tcMar>
            <w:vAlign w:val="center"/>
          </w:tcPr>
          <w:p w14:paraId="1C6369A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594" w:type="dxa"/>
            <w:noWrap w:val="0"/>
            <w:tcMar>
              <w:top w:w="0" w:type="dxa"/>
              <w:left w:w="0" w:type="dxa"/>
              <w:bottom w:w="0" w:type="dxa"/>
              <w:right w:w="0" w:type="dxa"/>
            </w:tcMar>
            <w:vAlign w:val="center"/>
          </w:tcPr>
          <w:p w14:paraId="1849F7C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调味品发酵技术</w:t>
            </w:r>
          </w:p>
        </w:tc>
        <w:tc>
          <w:tcPr>
            <w:tcW w:w="3448" w:type="dxa"/>
            <w:noWrap w:val="0"/>
            <w:tcMar>
              <w:top w:w="0" w:type="dxa"/>
              <w:left w:w="113" w:type="dxa"/>
              <w:bottom w:w="0" w:type="dxa"/>
              <w:right w:w="113" w:type="dxa"/>
            </w:tcMar>
            <w:vAlign w:val="center"/>
          </w:tcPr>
          <w:p w14:paraId="283BC07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使学生了解调味品生产的基本知识点，培养学生生产操作、品质管理和工艺实施的基本操作技能，并通过具体产品工艺掌握和实施使学生具备综合应用和解决问题的能力。为学生发展各专业化方向的职业能力奠定基础。</w:t>
            </w:r>
          </w:p>
        </w:tc>
        <w:tc>
          <w:tcPr>
            <w:tcW w:w="4890" w:type="dxa"/>
            <w:noWrap w:val="0"/>
            <w:tcMar>
              <w:top w:w="0" w:type="dxa"/>
              <w:left w:w="113" w:type="dxa"/>
              <w:bottom w:w="0" w:type="dxa"/>
              <w:right w:w="113" w:type="dxa"/>
            </w:tcMar>
            <w:vAlign w:val="center"/>
          </w:tcPr>
          <w:p w14:paraId="73781B3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本课程主要内容包括：酱油生产技术、食醋生产技术、豆腐乳生产技术、味精生产技术、水解性调味品、抽提类调味品生、液态复合调味料、固态复合调味料、半固态复合调味料制备技术。</w:t>
            </w:r>
          </w:p>
          <w:p w14:paraId="05FFD25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通过学习，学生了解调味品的相关理论知识，掌握评发酵调味品的制作技术，了解各类调味品的生产技巧。同时，能进行调味品品鉴，熟悉调味品的综合应用场景。</w:t>
            </w:r>
          </w:p>
        </w:tc>
        <w:tc>
          <w:tcPr>
            <w:tcW w:w="579" w:type="dxa"/>
            <w:noWrap w:val="0"/>
            <w:tcMar>
              <w:top w:w="0" w:type="dxa"/>
              <w:left w:w="0" w:type="dxa"/>
              <w:bottom w:w="0" w:type="dxa"/>
              <w:right w:w="0" w:type="dxa"/>
            </w:tcMar>
            <w:vAlign w:val="center"/>
          </w:tcPr>
          <w:p w14:paraId="330EFF2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2/36</w:t>
            </w:r>
          </w:p>
        </w:tc>
      </w:tr>
      <w:tr w14:paraId="0704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42" w:hRule="atLeast"/>
          <w:jc w:val="center"/>
        </w:trPr>
        <w:tc>
          <w:tcPr>
            <w:tcW w:w="594" w:type="dxa"/>
            <w:noWrap w:val="0"/>
            <w:tcMar>
              <w:top w:w="0" w:type="dxa"/>
              <w:left w:w="0" w:type="dxa"/>
              <w:bottom w:w="0" w:type="dxa"/>
              <w:right w:w="0" w:type="dxa"/>
            </w:tcMar>
            <w:vAlign w:val="center"/>
          </w:tcPr>
          <w:p w14:paraId="5958B52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w:t>
            </w:r>
          </w:p>
        </w:tc>
        <w:tc>
          <w:tcPr>
            <w:tcW w:w="594" w:type="dxa"/>
            <w:noWrap w:val="0"/>
            <w:tcMar>
              <w:top w:w="0" w:type="dxa"/>
              <w:left w:w="0" w:type="dxa"/>
              <w:bottom w:w="0" w:type="dxa"/>
              <w:right w:w="0" w:type="dxa"/>
            </w:tcMar>
            <w:vAlign w:val="center"/>
          </w:tcPr>
          <w:p w14:paraId="6A0B419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食品智能加工</w:t>
            </w:r>
          </w:p>
          <w:p w14:paraId="4D36C1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w:t>
            </w:r>
          </w:p>
        </w:tc>
        <w:tc>
          <w:tcPr>
            <w:tcW w:w="3448" w:type="dxa"/>
            <w:noWrap w:val="0"/>
            <w:tcMar>
              <w:top w:w="0" w:type="dxa"/>
              <w:left w:w="113" w:type="dxa"/>
              <w:bottom w:w="0" w:type="dxa"/>
              <w:right w:w="113" w:type="dxa"/>
            </w:tcMar>
            <w:vAlign w:val="center"/>
          </w:tcPr>
          <w:p w14:paraId="733E113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使学生掌握各类食品加工的基本要求、基本工艺、常见问题及原因以及一般加工设备的操作程序。通过训练，使学生能够操作各类食品加工机械，具备基本加工能力，判断并解决各类食品常见质量问题，达到食品加工工中级及以上水平。</w:t>
            </w:r>
          </w:p>
        </w:tc>
        <w:tc>
          <w:tcPr>
            <w:tcW w:w="4890" w:type="dxa"/>
            <w:noWrap w:val="0"/>
            <w:tcMar>
              <w:top w:w="0" w:type="dxa"/>
              <w:left w:w="113" w:type="dxa"/>
              <w:bottom w:w="0" w:type="dxa"/>
              <w:right w:w="113" w:type="dxa"/>
            </w:tcMar>
            <w:vAlign w:val="center"/>
          </w:tcPr>
          <w:p w14:paraId="3FC6764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本课程主要内容包括：焙烤食品加工、果蔬制品加工、肉制品加工、乳制品加工和产品创新和推广等。</w:t>
            </w:r>
          </w:p>
          <w:p w14:paraId="6CBF7F7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使学生了解食品原辅料的性质、作用等基础知识，基本的加工工艺、操作要点及注意事项，食品常见质量问题等知识;掌握肉制品加工、果蔬加工、乳制品加工、焙烤加工的原料处理、工艺流程设计、分析与解决产品质量问题，提升学生的理解、分析等综合能力。</w:t>
            </w:r>
          </w:p>
        </w:tc>
        <w:tc>
          <w:tcPr>
            <w:tcW w:w="579" w:type="dxa"/>
            <w:noWrap w:val="0"/>
            <w:tcMar>
              <w:top w:w="0" w:type="dxa"/>
              <w:left w:w="0" w:type="dxa"/>
              <w:bottom w:w="0" w:type="dxa"/>
              <w:right w:w="0" w:type="dxa"/>
            </w:tcMar>
            <w:vAlign w:val="center"/>
          </w:tcPr>
          <w:p w14:paraId="5A21DB7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2/36</w:t>
            </w:r>
          </w:p>
        </w:tc>
      </w:tr>
      <w:tr w14:paraId="20ED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26" w:hRule="atLeast"/>
          <w:jc w:val="center"/>
        </w:trPr>
        <w:tc>
          <w:tcPr>
            <w:tcW w:w="594" w:type="dxa"/>
            <w:noWrap w:val="0"/>
            <w:tcMar>
              <w:top w:w="0" w:type="dxa"/>
              <w:left w:w="0" w:type="dxa"/>
              <w:bottom w:w="0" w:type="dxa"/>
              <w:right w:w="0" w:type="dxa"/>
            </w:tcMar>
            <w:vAlign w:val="center"/>
          </w:tcPr>
          <w:p w14:paraId="4C8C07D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w:t>
            </w:r>
          </w:p>
        </w:tc>
        <w:tc>
          <w:tcPr>
            <w:tcW w:w="594" w:type="dxa"/>
            <w:noWrap w:val="0"/>
            <w:tcMar>
              <w:top w:w="0" w:type="dxa"/>
              <w:left w:w="0" w:type="dxa"/>
              <w:bottom w:w="0" w:type="dxa"/>
              <w:right w:w="0" w:type="dxa"/>
            </w:tcMar>
            <w:vAlign w:val="center"/>
          </w:tcPr>
          <w:p w14:paraId="4E61ECA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食品机械与设备</w:t>
            </w:r>
          </w:p>
        </w:tc>
        <w:tc>
          <w:tcPr>
            <w:tcW w:w="3448" w:type="dxa"/>
            <w:noWrap w:val="0"/>
            <w:tcMar>
              <w:top w:w="0" w:type="dxa"/>
              <w:left w:w="113" w:type="dxa"/>
              <w:bottom w:w="0" w:type="dxa"/>
              <w:right w:w="113" w:type="dxa"/>
            </w:tcMar>
            <w:vAlign w:val="center"/>
          </w:tcPr>
          <w:p w14:paraId="7CD812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教学，让学生熟悉食品机械与设备工作原理及其使用和选择方法，培养学生的工程思维能力和创新思维能力，要求学生具有对食品加工机械的分析与应用能力，具有食品设备设计的基本能力，具有典型食品设备的安装与调试的能力。</w:t>
            </w:r>
          </w:p>
        </w:tc>
        <w:tc>
          <w:tcPr>
            <w:tcW w:w="4890" w:type="dxa"/>
            <w:noWrap w:val="0"/>
            <w:tcMar>
              <w:top w:w="0" w:type="dxa"/>
              <w:left w:w="113" w:type="dxa"/>
              <w:bottom w:w="0" w:type="dxa"/>
              <w:right w:w="113" w:type="dxa"/>
            </w:tcMar>
            <w:vAlign w:val="center"/>
          </w:tcPr>
          <w:p w14:paraId="36AE61C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主要包含绪论、物料输送机械与设备、原料预处理机械与设备、粉碎均质及混合机械与设备、热加工机械与设备、食品冷加工机械与设备、成型挤压机械与设备、装料及包装机械与设备、生化反应设备等内容。</w:t>
            </w:r>
          </w:p>
          <w:p w14:paraId="616B886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本课程的学习，使学生掌握食品加工所涉及的主要机械与设备的基本理论和设计理念，了解掌握主要机械设备的结构特性、工作原理以及计算选型。使学生毕业后在食品行业进行食品加工生产线设计、工厂设备的技术开发与改造以及备的生产、使用、销售过程中能发挥技术指导作用。</w:t>
            </w:r>
          </w:p>
        </w:tc>
        <w:tc>
          <w:tcPr>
            <w:tcW w:w="579" w:type="dxa"/>
            <w:noWrap w:val="0"/>
            <w:tcMar>
              <w:top w:w="0" w:type="dxa"/>
              <w:left w:w="0" w:type="dxa"/>
              <w:bottom w:w="0" w:type="dxa"/>
              <w:right w:w="0" w:type="dxa"/>
            </w:tcMar>
            <w:vAlign w:val="center"/>
          </w:tcPr>
          <w:p w14:paraId="3EB8F3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4/72</w:t>
            </w:r>
          </w:p>
        </w:tc>
      </w:tr>
    </w:tbl>
    <w:p w14:paraId="6C94FA9C">
      <w:pPr>
        <w:keepNext w:val="0"/>
        <w:keepLines w:val="0"/>
        <w:pageBreakBefore w:val="0"/>
        <w:wordWrap/>
        <w:overflowPunct/>
        <w:topLinePunct w:val="0"/>
        <w:bidi w:val="0"/>
        <w:spacing w:line="440" w:lineRule="exact"/>
        <w:rPr>
          <w:rFonts w:hint="eastAsia" w:asciiTheme="minorEastAsia" w:hAnsiTheme="minorEastAsia" w:eastAsiaTheme="minorEastAsia" w:cstheme="minorEastAsia"/>
          <w:b/>
          <w:bCs/>
          <w:sz w:val="24"/>
          <w:szCs w:val="24"/>
        </w:rPr>
      </w:pPr>
    </w:p>
    <w:p w14:paraId="0DF2C879">
      <w:pPr>
        <w:keepNext w:val="0"/>
        <w:keepLines w:val="0"/>
        <w:pageBreakBefore w:val="0"/>
        <w:wordWrap/>
        <w:overflowPunct/>
        <w:topLinePunct w:val="0"/>
        <w:bidi w:val="0"/>
        <w:spacing w:line="440" w:lineRule="exact"/>
        <w:rPr>
          <w:rFonts w:hint="eastAsia" w:asciiTheme="minorEastAsia" w:hAnsiTheme="minorEastAsia" w:eastAsiaTheme="minorEastAsia" w:cstheme="minorEastAsia"/>
          <w:b/>
          <w:bCs/>
          <w:sz w:val="24"/>
          <w:szCs w:val="24"/>
        </w:rPr>
        <w:sectPr>
          <w:footerReference r:id="rId6" w:type="default"/>
          <w:pgSz w:w="11906" w:h="16838"/>
          <w:pgMar w:top="1134" w:right="1134" w:bottom="1134" w:left="1247" w:header="851" w:footer="992" w:gutter="0"/>
          <w:pgNumType w:fmt="decimal" w:start="1"/>
          <w:cols w:space="720" w:num="1"/>
          <w:docGrid w:type="lines" w:linePitch="312" w:charSpace="0"/>
        </w:sectPr>
      </w:pPr>
    </w:p>
    <w:p w14:paraId="646E5FDE">
      <w:pPr>
        <w:pStyle w:val="2"/>
        <w:bidi w:val="0"/>
        <w:rPr>
          <w:rFonts w:hint="eastAsia" w:ascii="黑体" w:hAnsi="黑体" w:eastAsia="黑体" w:cs="黑体"/>
          <w:b w:val="0"/>
          <w:bCs/>
          <w:sz w:val="28"/>
          <w:szCs w:val="28"/>
          <w:lang w:val="zh-CN" w:eastAsia="zh-CN"/>
        </w:rPr>
      </w:pPr>
      <w:bookmarkStart w:id="33" w:name="_Toc1272348822"/>
      <w:r>
        <w:rPr>
          <w:rFonts w:hint="eastAsia" w:ascii="黑体" w:hAnsi="黑体" w:eastAsia="黑体" w:cs="黑体"/>
          <w:b w:val="0"/>
          <w:bCs/>
          <w:sz w:val="28"/>
          <w:szCs w:val="28"/>
          <w:lang w:val="en-US" w:eastAsia="zh-CN"/>
        </w:rPr>
        <w:t>七</w:t>
      </w:r>
      <w:r>
        <w:rPr>
          <w:rFonts w:hint="eastAsia" w:ascii="黑体" w:hAnsi="黑体" w:eastAsia="黑体" w:cs="黑体"/>
          <w:b w:val="0"/>
          <w:bCs/>
          <w:sz w:val="28"/>
          <w:szCs w:val="28"/>
          <w:lang w:val="zh-CN" w:eastAsia="zh-CN"/>
        </w:rPr>
        <w:t>、教学进程安排</w:t>
      </w:r>
      <w:bookmarkEnd w:id="25"/>
      <w:bookmarkEnd w:id="26"/>
      <w:bookmarkEnd w:id="27"/>
      <w:bookmarkEnd w:id="28"/>
      <w:bookmarkEnd w:id="29"/>
      <w:bookmarkEnd w:id="30"/>
      <w:bookmarkEnd w:id="31"/>
      <w:bookmarkEnd w:id="32"/>
      <w:bookmarkEnd w:id="33"/>
      <w:bookmarkStart w:id="34" w:name="_Toc12044"/>
      <w:bookmarkStart w:id="35" w:name="_Toc113290237"/>
      <w:bookmarkStart w:id="36" w:name="_Toc12784"/>
    </w:p>
    <w:p w14:paraId="5BCB7D80">
      <w:pPr>
        <w:pStyle w:val="3"/>
        <w:bidi w:val="0"/>
        <w:rPr>
          <w:rFonts w:hint="eastAsia"/>
          <w:sz w:val="24"/>
          <w:szCs w:val="24"/>
          <w:lang w:val="zh-CN" w:eastAsia="zh-CN"/>
        </w:rPr>
      </w:pPr>
      <w:bookmarkStart w:id="37" w:name="_Toc1871978175"/>
      <w:r>
        <w:rPr>
          <w:rFonts w:hint="eastAsia"/>
          <w:sz w:val="24"/>
          <w:szCs w:val="24"/>
          <w:lang w:val="zh-CN" w:eastAsia="zh-CN"/>
        </w:rPr>
        <w:t>（一）教学总体安排表</w:t>
      </w:r>
      <w:bookmarkEnd w:id="34"/>
      <w:bookmarkEnd w:id="35"/>
      <w:bookmarkEnd w:id="36"/>
      <w:bookmarkEnd w:id="37"/>
    </w:p>
    <w:tbl>
      <w:tblPr>
        <w:tblStyle w:val="15"/>
        <w:tblW w:w="50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5"/>
        <w:gridCol w:w="452"/>
        <w:gridCol w:w="602"/>
        <w:gridCol w:w="1104"/>
        <w:gridCol w:w="759"/>
        <w:gridCol w:w="1045"/>
        <w:gridCol w:w="1693"/>
        <w:gridCol w:w="452"/>
        <w:gridCol w:w="562"/>
        <w:gridCol w:w="566"/>
        <w:gridCol w:w="510"/>
        <w:gridCol w:w="529"/>
        <w:gridCol w:w="746"/>
      </w:tblGrid>
      <w:tr w14:paraId="1E3D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95" w:type="pct"/>
            <w:vMerge w:val="restart"/>
            <w:noWrap w:val="0"/>
            <w:vAlign w:val="center"/>
          </w:tcPr>
          <w:p w14:paraId="5FF6A7DA">
            <w:pPr>
              <w:pStyle w:val="37"/>
              <w:keepNext w:val="0"/>
              <w:keepLines w:val="0"/>
              <w:pageBreakBefore w:val="0"/>
              <w:wordWrap/>
              <w:overflowPunct/>
              <w:topLinePunct w:val="0"/>
              <w:bidi w:val="0"/>
              <w:spacing w:line="440" w:lineRule="exact"/>
              <w:jc w:val="center"/>
              <w:rPr>
                <w:rFonts w:hint="eastAsia" w:asciiTheme="minorEastAsia" w:hAnsiTheme="minorEastAsia" w:eastAsiaTheme="minorEastAsia" w:cstheme="minorEastAsia"/>
                <w:b/>
                <w:w w:val="95"/>
                <w:sz w:val="21"/>
                <w:szCs w:val="21"/>
              </w:rPr>
            </w:pPr>
            <w:r>
              <w:rPr>
                <w:rFonts w:hint="eastAsia" w:asciiTheme="minorEastAsia" w:hAnsiTheme="minorEastAsia" w:eastAsiaTheme="minorEastAsia" w:cstheme="minorEastAsia"/>
                <w:b/>
                <w:w w:val="95"/>
                <w:sz w:val="21"/>
                <w:szCs w:val="21"/>
              </w:rPr>
              <w:t>学</w:t>
            </w:r>
          </w:p>
          <w:p w14:paraId="391BC793">
            <w:pPr>
              <w:pStyle w:val="37"/>
              <w:keepNext w:val="0"/>
              <w:keepLines w:val="0"/>
              <w:pageBreakBefore w:val="0"/>
              <w:wordWrap/>
              <w:overflowPunct/>
              <w:topLinePunct w:val="0"/>
              <w:bidi w:val="0"/>
              <w:spacing w:line="44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5"/>
                <w:sz w:val="21"/>
                <w:szCs w:val="21"/>
              </w:rPr>
              <w:t>年</w:t>
            </w:r>
          </w:p>
        </w:tc>
        <w:tc>
          <w:tcPr>
            <w:tcW w:w="236" w:type="pct"/>
            <w:vMerge w:val="restart"/>
            <w:noWrap w:val="0"/>
            <w:vAlign w:val="center"/>
          </w:tcPr>
          <w:p w14:paraId="24DA3546">
            <w:pPr>
              <w:pStyle w:val="37"/>
              <w:keepNext w:val="0"/>
              <w:keepLines w:val="0"/>
              <w:pageBreakBefore w:val="0"/>
              <w:wordWrap/>
              <w:overflowPunct/>
              <w:topLinePunct w:val="0"/>
              <w:bidi w:val="0"/>
              <w:spacing w:line="44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w:t>
            </w:r>
          </w:p>
          <w:p w14:paraId="2A77DD3B">
            <w:pPr>
              <w:pStyle w:val="37"/>
              <w:keepNext w:val="0"/>
              <w:keepLines w:val="0"/>
              <w:pageBreakBefore w:val="0"/>
              <w:wordWrap/>
              <w:overflowPunct/>
              <w:topLinePunct w:val="0"/>
              <w:bidi w:val="0"/>
              <w:spacing w:line="44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期</w:t>
            </w:r>
          </w:p>
        </w:tc>
        <w:tc>
          <w:tcPr>
            <w:tcW w:w="314" w:type="pct"/>
            <w:vMerge w:val="restart"/>
            <w:noWrap w:val="0"/>
            <w:vAlign w:val="center"/>
          </w:tcPr>
          <w:p w14:paraId="5798021E">
            <w:pPr>
              <w:pStyle w:val="37"/>
              <w:keepNext w:val="0"/>
              <w:keepLines w:val="0"/>
              <w:pageBreakBefore w:val="0"/>
              <w:wordWrap/>
              <w:overflowPunct/>
              <w:topLinePunct w:val="0"/>
              <w:bidi w:val="0"/>
              <w:spacing w:before="16" w:line="440" w:lineRule="exact"/>
              <w:ind w:left="197" w:right="167"/>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课内教学</w:t>
            </w:r>
          </w:p>
        </w:tc>
        <w:tc>
          <w:tcPr>
            <w:tcW w:w="2400" w:type="pct"/>
            <w:gridSpan w:val="4"/>
            <w:noWrap w:val="0"/>
            <w:vAlign w:val="center"/>
          </w:tcPr>
          <w:p w14:paraId="0E805CE7">
            <w:pPr>
              <w:pStyle w:val="37"/>
              <w:keepNext w:val="0"/>
              <w:keepLines w:val="0"/>
              <w:pageBreakBefore w:val="0"/>
              <w:wordWrap/>
              <w:overflowPunct/>
              <w:topLinePunct w:val="0"/>
              <w:bidi w:val="0"/>
              <w:spacing w:before="34" w:line="440" w:lineRule="exact"/>
              <w:ind w:left="1559" w:right="1529"/>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集中实践教学</w:t>
            </w:r>
          </w:p>
        </w:tc>
        <w:tc>
          <w:tcPr>
            <w:tcW w:w="236" w:type="pct"/>
            <w:vMerge w:val="restart"/>
            <w:noWrap w:val="0"/>
            <w:vAlign w:val="center"/>
          </w:tcPr>
          <w:p w14:paraId="71D047B8">
            <w:pPr>
              <w:pStyle w:val="37"/>
              <w:keepNext w:val="0"/>
              <w:keepLines w:val="0"/>
              <w:pageBreakBefore w:val="0"/>
              <w:wordWrap/>
              <w:overflowPunct/>
              <w:topLinePunct w:val="0"/>
              <w:bidi w:val="0"/>
              <w:spacing w:before="143" w:line="440" w:lineRule="exact"/>
              <w:ind w:left="128" w:right="93"/>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考试</w:t>
            </w:r>
          </w:p>
        </w:tc>
        <w:tc>
          <w:tcPr>
            <w:tcW w:w="293" w:type="pct"/>
            <w:vMerge w:val="restart"/>
            <w:noWrap w:val="0"/>
            <w:vAlign w:val="center"/>
          </w:tcPr>
          <w:p w14:paraId="704C38E6">
            <w:pPr>
              <w:pStyle w:val="37"/>
              <w:keepNext w:val="0"/>
              <w:keepLines w:val="0"/>
              <w:pageBreakBefore w:val="0"/>
              <w:wordWrap/>
              <w:overflowPunct/>
              <w:topLinePunct w:val="0"/>
              <w:bidi w:val="0"/>
              <w:spacing w:before="1" w:line="440" w:lineRule="exact"/>
              <w:ind w:left="179" w:right="145"/>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长假周</w:t>
            </w:r>
          </w:p>
        </w:tc>
        <w:tc>
          <w:tcPr>
            <w:tcW w:w="295" w:type="pct"/>
            <w:vMerge w:val="restart"/>
            <w:noWrap w:val="0"/>
            <w:vAlign w:val="center"/>
          </w:tcPr>
          <w:p w14:paraId="27E025B6">
            <w:pPr>
              <w:pStyle w:val="37"/>
              <w:keepNext w:val="0"/>
              <w:keepLines w:val="0"/>
              <w:pageBreakBefore w:val="0"/>
              <w:wordWrap/>
              <w:overflowPunct/>
              <w:topLinePunct w:val="0"/>
              <w:bidi w:val="0"/>
              <w:spacing w:before="143" w:line="440" w:lineRule="exact"/>
              <w:ind w:left="183" w:right="144"/>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小计</w:t>
            </w:r>
          </w:p>
        </w:tc>
        <w:tc>
          <w:tcPr>
            <w:tcW w:w="266" w:type="pct"/>
            <w:vMerge w:val="restart"/>
            <w:noWrap w:val="0"/>
            <w:vAlign w:val="center"/>
          </w:tcPr>
          <w:p w14:paraId="75DC8941">
            <w:pPr>
              <w:pStyle w:val="37"/>
              <w:keepNext w:val="0"/>
              <w:keepLines w:val="0"/>
              <w:pageBreakBefore w:val="0"/>
              <w:wordWrap/>
              <w:overflowPunct/>
              <w:topLinePunct w:val="0"/>
              <w:bidi w:val="0"/>
              <w:spacing w:before="143" w:line="440" w:lineRule="exact"/>
              <w:ind w:left="158" w:right="11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寒假</w:t>
            </w:r>
          </w:p>
        </w:tc>
        <w:tc>
          <w:tcPr>
            <w:tcW w:w="276" w:type="pct"/>
            <w:vMerge w:val="restart"/>
            <w:noWrap w:val="0"/>
            <w:vAlign w:val="center"/>
          </w:tcPr>
          <w:p w14:paraId="405246CA">
            <w:pPr>
              <w:pStyle w:val="37"/>
              <w:keepNext w:val="0"/>
              <w:keepLines w:val="0"/>
              <w:pageBreakBefore w:val="0"/>
              <w:wordWrap/>
              <w:overflowPunct/>
              <w:topLinePunct w:val="0"/>
              <w:bidi w:val="0"/>
              <w:spacing w:before="143" w:line="440" w:lineRule="exact"/>
              <w:ind w:left="140" w:right="1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暑假</w:t>
            </w:r>
          </w:p>
        </w:tc>
        <w:tc>
          <w:tcPr>
            <w:tcW w:w="385" w:type="pct"/>
            <w:vMerge w:val="restart"/>
            <w:noWrap w:val="0"/>
            <w:vAlign w:val="center"/>
          </w:tcPr>
          <w:p w14:paraId="0BFB84F7">
            <w:pPr>
              <w:pStyle w:val="37"/>
              <w:keepNext w:val="0"/>
              <w:keepLines w:val="0"/>
              <w:pageBreakBefore w:val="0"/>
              <w:wordWrap/>
              <w:overflowPunct/>
              <w:topLinePunct w:val="0"/>
              <w:bidi w:val="0"/>
              <w:spacing w:before="1" w:line="440" w:lineRule="exact"/>
              <w:ind w:left="192"/>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合计</w:t>
            </w:r>
          </w:p>
        </w:tc>
      </w:tr>
      <w:tr w14:paraId="74D8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6" w:hRule="atLeast"/>
          <w:jc w:val="center"/>
        </w:trPr>
        <w:tc>
          <w:tcPr>
            <w:tcW w:w="295" w:type="pct"/>
            <w:vMerge w:val="continue"/>
            <w:noWrap w:val="0"/>
            <w:vAlign w:val="center"/>
          </w:tcPr>
          <w:p w14:paraId="41BFAFA4">
            <w:pPr>
              <w:keepNext w:val="0"/>
              <w:keepLines w:val="0"/>
              <w:pageBreakBefore w:val="0"/>
              <w:wordWrap/>
              <w:overflowPunct/>
              <w:topLinePunct w:val="0"/>
              <w:bidi w:val="0"/>
              <w:spacing w:line="440" w:lineRule="exact"/>
              <w:jc w:val="center"/>
              <w:rPr>
                <w:rFonts w:hint="eastAsia" w:asciiTheme="minorEastAsia" w:hAnsiTheme="minorEastAsia" w:eastAsiaTheme="minorEastAsia" w:cstheme="minorEastAsia"/>
                <w:sz w:val="21"/>
                <w:szCs w:val="21"/>
              </w:rPr>
            </w:pPr>
          </w:p>
        </w:tc>
        <w:tc>
          <w:tcPr>
            <w:tcW w:w="236" w:type="pct"/>
            <w:vMerge w:val="continue"/>
            <w:noWrap w:val="0"/>
            <w:vAlign w:val="center"/>
          </w:tcPr>
          <w:p w14:paraId="4412470E">
            <w:pPr>
              <w:keepNext w:val="0"/>
              <w:keepLines w:val="0"/>
              <w:pageBreakBefore w:val="0"/>
              <w:wordWrap/>
              <w:overflowPunct/>
              <w:topLinePunct w:val="0"/>
              <w:bidi w:val="0"/>
              <w:spacing w:line="440" w:lineRule="exact"/>
              <w:jc w:val="center"/>
              <w:rPr>
                <w:rFonts w:hint="eastAsia" w:asciiTheme="minorEastAsia" w:hAnsiTheme="minorEastAsia" w:eastAsiaTheme="minorEastAsia" w:cstheme="minorEastAsia"/>
                <w:sz w:val="21"/>
                <w:szCs w:val="21"/>
              </w:rPr>
            </w:pPr>
          </w:p>
        </w:tc>
        <w:tc>
          <w:tcPr>
            <w:tcW w:w="314" w:type="pct"/>
            <w:vMerge w:val="continue"/>
            <w:noWrap w:val="0"/>
            <w:vAlign w:val="center"/>
          </w:tcPr>
          <w:p w14:paraId="144D66DA">
            <w:pPr>
              <w:keepNext w:val="0"/>
              <w:keepLines w:val="0"/>
              <w:pageBreakBefore w:val="0"/>
              <w:wordWrap/>
              <w:overflowPunct/>
              <w:topLinePunct w:val="0"/>
              <w:bidi w:val="0"/>
              <w:spacing w:line="440" w:lineRule="exact"/>
              <w:jc w:val="center"/>
              <w:rPr>
                <w:rFonts w:hint="eastAsia" w:asciiTheme="minorEastAsia" w:hAnsiTheme="minorEastAsia" w:eastAsiaTheme="minorEastAsia" w:cstheme="minorEastAsia"/>
                <w:sz w:val="21"/>
                <w:szCs w:val="21"/>
              </w:rPr>
            </w:pPr>
          </w:p>
        </w:tc>
        <w:tc>
          <w:tcPr>
            <w:tcW w:w="576" w:type="pct"/>
            <w:noWrap w:val="0"/>
            <w:vAlign w:val="center"/>
          </w:tcPr>
          <w:p w14:paraId="1B6F4EA8">
            <w:pPr>
              <w:pStyle w:val="37"/>
              <w:keepNext w:val="0"/>
              <w:keepLines w:val="0"/>
              <w:pageBreakBefore w:val="0"/>
              <w:wordWrap/>
              <w:overflowPunct/>
              <w:topLinePunct w:val="0"/>
              <w:bidi w:val="0"/>
              <w:spacing w:before="1" w:line="440" w:lineRule="exact"/>
              <w:ind w:left="132" w:right="98"/>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入学教育军事训练</w:t>
            </w:r>
          </w:p>
        </w:tc>
        <w:tc>
          <w:tcPr>
            <w:tcW w:w="396" w:type="pct"/>
            <w:noWrap w:val="0"/>
            <w:vAlign w:val="center"/>
          </w:tcPr>
          <w:p w14:paraId="76C534E0">
            <w:pPr>
              <w:pStyle w:val="37"/>
              <w:keepNext w:val="0"/>
              <w:keepLines w:val="0"/>
              <w:pageBreakBefore w:val="0"/>
              <w:wordWrap/>
              <w:overflowPunct/>
              <w:topLinePunct w:val="0"/>
              <w:bidi w:val="0"/>
              <w:spacing w:before="17" w:line="440" w:lineRule="exact"/>
              <w:ind w:left="169" w:right="139"/>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专业实践教学</w:t>
            </w:r>
          </w:p>
        </w:tc>
        <w:tc>
          <w:tcPr>
            <w:tcW w:w="545" w:type="pct"/>
            <w:noWrap w:val="0"/>
            <w:vAlign w:val="center"/>
          </w:tcPr>
          <w:p w14:paraId="4621A0D8">
            <w:pPr>
              <w:pStyle w:val="37"/>
              <w:keepNext w:val="0"/>
              <w:keepLines w:val="0"/>
              <w:pageBreakBefore w:val="0"/>
              <w:wordWrap/>
              <w:overflowPunct/>
              <w:topLinePunct w:val="0"/>
              <w:bidi w:val="0"/>
              <w:spacing w:before="32" w:line="440" w:lineRule="exact"/>
              <w:ind w:left="304" w:right="273"/>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毕业设计</w:t>
            </w:r>
          </w:p>
        </w:tc>
        <w:tc>
          <w:tcPr>
            <w:tcW w:w="880" w:type="pct"/>
            <w:noWrap w:val="0"/>
            <w:vAlign w:val="center"/>
          </w:tcPr>
          <w:p w14:paraId="681F44EF">
            <w:pPr>
              <w:pStyle w:val="37"/>
              <w:keepNext w:val="0"/>
              <w:keepLines w:val="0"/>
              <w:pageBreakBefore w:val="0"/>
              <w:wordWrap/>
              <w:overflowPunct/>
              <w:topLinePunct w:val="0"/>
              <w:bidi w:val="0"/>
              <w:spacing w:before="1" w:line="440" w:lineRule="exact"/>
              <w:ind w:left="242" w:right="205"/>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岗位实习</w:t>
            </w:r>
          </w:p>
          <w:p w14:paraId="79F29644">
            <w:pPr>
              <w:pStyle w:val="37"/>
              <w:keepNext w:val="0"/>
              <w:keepLines w:val="0"/>
              <w:pageBreakBefore w:val="0"/>
              <w:wordWrap/>
              <w:overflowPunct/>
              <w:topLinePunct w:val="0"/>
              <w:bidi w:val="0"/>
              <w:spacing w:before="1" w:line="440" w:lineRule="exact"/>
              <w:ind w:left="170" w:leftChars="81" w:right="140" w:firstLine="103" w:firstLineChars="49"/>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毕业教育</w:t>
            </w:r>
          </w:p>
        </w:tc>
        <w:tc>
          <w:tcPr>
            <w:tcW w:w="236" w:type="pct"/>
            <w:vMerge w:val="continue"/>
            <w:noWrap w:val="0"/>
            <w:vAlign w:val="center"/>
          </w:tcPr>
          <w:p w14:paraId="57E566C5">
            <w:pPr>
              <w:keepNext w:val="0"/>
              <w:keepLines w:val="0"/>
              <w:pageBreakBefore w:val="0"/>
              <w:wordWrap/>
              <w:overflowPunct/>
              <w:topLinePunct w:val="0"/>
              <w:bidi w:val="0"/>
              <w:spacing w:line="440" w:lineRule="exact"/>
              <w:rPr>
                <w:rFonts w:hint="eastAsia" w:asciiTheme="minorEastAsia" w:hAnsiTheme="minorEastAsia" w:eastAsiaTheme="minorEastAsia" w:cstheme="minorEastAsia"/>
                <w:sz w:val="21"/>
                <w:szCs w:val="21"/>
              </w:rPr>
            </w:pPr>
          </w:p>
        </w:tc>
        <w:tc>
          <w:tcPr>
            <w:tcW w:w="293" w:type="pct"/>
            <w:vMerge w:val="continue"/>
            <w:noWrap w:val="0"/>
            <w:vAlign w:val="center"/>
          </w:tcPr>
          <w:p w14:paraId="50C1CD83">
            <w:pPr>
              <w:keepNext w:val="0"/>
              <w:keepLines w:val="0"/>
              <w:pageBreakBefore w:val="0"/>
              <w:wordWrap/>
              <w:overflowPunct/>
              <w:topLinePunct w:val="0"/>
              <w:bidi w:val="0"/>
              <w:spacing w:line="440" w:lineRule="exact"/>
              <w:rPr>
                <w:rFonts w:hint="eastAsia" w:asciiTheme="minorEastAsia" w:hAnsiTheme="minorEastAsia" w:eastAsiaTheme="minorEastAsia" w:cstheme="minorEastAsia"/>
                <w:sz w:val="21"/>
                <w:szCs w:val="21"/>
              </w:rPr>
            </w:pPr>
          </w:p>
        </w:tc>
        <w:tc>
          <w:tcPr>
            <w:tcW w:w="295" w:type="pct"/>
            <w:vMerge w:val="continue"/>
            <w:noWrap w:val="0"/>
            <w:vAlign w:val="center"/>
          </w:tcPr>
          <w:p w14:paraId="23D850A1">
            <w:pPr>
              <w:keepNext w:val="0"/>
              <w:keepLines w:val="0"/>
              <w:pageBreakBefore w:val="0"/>
              <w:wordWrap/>
              <w:overflowPunct/>
              <w:topLinePunct w:val="0"/>
              <w:bidi w:val="0"/>
              <w:spacing w:line="440" w:lineRule="exact"/>
              <w:rPr>
                <w:rFonts w:hint="eastAsia" w:asciiTheme="minorEastAsia" w:hAnsiTheme="minorEastAsia" w:eastAsiaTheme="minorEastAsia" w:cstheme="minorEastAsia"/>
                <w:sz w:val="21"/>
                <w:szCs w:val="21"/>
              </w:rPr>
            </w:pPr>
          </w:p>
        </w:tc>
        <w:tc>
          <w:tcPr>
            <w:tcW w:w="266" w:type="pct"/>
            <w:vMerge w:val="continue"/>
            <w:noWrap w:val="0"/>
            <w:vAlign w:val="center"/>
          </w:tcPr>
          <w:p w14:paraId="601A25E1">
            <w:pPr>
              <w:keepNext w:val="0"/>
              <w:keepLines w:val="0"/>
              <w:pageBreakBefore w:val="0"/>
              <w:wordWrap/>
              <w:overflowPunct/>
              <w:topLinePunct w:val="0"/>
              <w:bidi w:val="0"/>
              <w:spacing w:line="440" w:lineRule="exact"/>
              <w:rPr>
                <w:rFonts w:hint="eastAsia" w:asciiTheme="minorEastAsia" w:hAnsiTheme="minorEastAsia" w:eastAsiaTheme="minorEastAsia" w:cstheme="minorEastAsia"/>
                <w:sz w:val="21"/>
                <w:szCs w:val="21"/>
              </w:rPr>
            </w:pPr>
          </w:p>
        </w:tc>
        <w:tc>
          <w:tcPr>
            <w:tcW w:w="276" w:type="pct"/>
            <w:vMerge w:val="continue"/>
            <w:noWrap w:val="0"/>
            <w:vAlign w:val="center"/>
          </w:tcPr>
          <w:p w14:paraId="799FB4CE">
            <w:pPr>
              <w:keepNext w:val="0"/>
              <w:keepLines w:val="0"/>
              <w:pageBreakBefore w:val="0"/>
              <w:wordWrap/>
              <w:overflowPunct/>
              <w:topLinePunct w:val="0"/>
              <w:bidi w:val="0"/>
              <w:spacing w:line="440" w:lineRule="exact"/>
              <w:rPr>
                <w:rFonts w:hint="eastAsia" w:asciiTheme="minorEastAsia" w:hAnsiTheme="minorEastAsia" w:eastAsiaTheme="minorEastAsia" w:cstheme="minorEastAsia"/>
                <w:sz w:val="21"/>
                <w:szCs w:val="21"/>
              </w:rPr>
            </w:pPr>
          </w:p>
        </w:tc>
        <w:tc>
          <w:tcPr>
            <w:tcW w:w="385" w:type="pct"/>
            <w:vMerge w:val="continue"/>
            <w:noWrap w:val="0"/>
            <w:vAlign w:val="center"/>
          </w:tcPr>
          <w:p w14:paraId="2054A9A9">
            <w:pPr>
              <w:keepNext w:val="0"/>
              <w:keepLines w:val="0"/>
              <w:pageBreakBefore w:val="0"/>
              <w:wordWrap/>
              <w:overflowPunct/>
              <w:topLinePunct w:val="0"/>
              <w:bidi w:val="0"/>
              <w:spacing w:line="440" w:lineRule="exact"/>
              <w:rPr>
                <w:rFonts w:hint="eastAsia" w:asciiTheme="minorEastAsia" w:hAnsiTheme="minorEastAsia" w:eastAsiaTheme="minorEastAsia" w:cstheme="minorEastAsia"/>
                <w:sz w:val="21"/>
                <w:szCs w:val="21"/>
              </w:rPr>
            </w:pPr>
          </w:p>
        </w:tc>
      </w:tr>
      <w:tr w14:paraId="5835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95" w:type="pct"/>
            <w:vMerge w:val="restart"/>
            <w:noWrap w:val="0"/>
            <w:vAlign w:val="center"/>
          </w:tcPr>
          <w:p w14:paraId="3082A9CA">
            <w:pPr>
              <w:pStyle w:val="37"/>
              <w:keepNext w:val="0"/>
              <w:keepLines w:val="0"/>
              <w:pageBreakBefore w:val="0"/>
              <w:wordWrap/>
              <w:overflowPunct/>
              <w:topLinePunct w:val="0"/>
              <w:bidi w:val="0"/>
              <w:spacing w:line="440" w:lineRule="exact"/>
              <w:ind w:left="167"/>
              <w:rPr>
                <w:rFonts w:hint="eastAsia" w:ascii="宋体" w:hAnsi="宋体" w:eastAsia="宋体" w:cs="宋体"/>
                <w:sz w:val="20"/>
              </w:rPr>
            </w:pPr>
            <w:r>
              <w:rPr>
                <w:rFonts w:hint="eastAsia" w:ascii="宋体" w:hAnsi="宋体" w:eastAsia="宋体" w:cs="宋体"/>
                <w:w w:val="99"/>
                <w:sz w:val="20"/>
              </w:rPr>
              <w:t>一</w:t>
            </w:r>
          </w:p>
        </w:tc>
        <w:tc>
          <w:tcPr>
            <w:tcW w:w="236" w:type="pct"/>
            <w:noWrap w:val="0"/>
            <w:vAlign w:val="center"/>
          </w:tcPr>
          <w:p w14:paraId="7B1322A8">
            <w:pPr>
              <w:pStyle w:val="37"/>
              <w:keepNext w:val="0"/>
              <w:keepLines w:val="0"/>
              <w:pageBreakBefore w:val="0"/>
              <w:wordWrap/>
              <w:overflowPunct/>
              <w:topLinePunct w:val="0"/>
              <w:bidi w:val="0"/>
              <w:spacing w:before="53" w:line="440" w:lineRule="exact"/>
              <w:ind w:left="28"/>
              <w:jc w:val="center"/>
              <w:rPr>
                <w:rFonts w:hint="eastAsia" w:ascii="宋体" w:hAnsi="宋体" w:eastAsia="宋体" w:cs="宋体"/>
                <w:sz w:val="20"/>
              </w:rPr>
            </w:pPr>
            <w:r>
              <w:rPr>
                <w:rFonts w:hint="eastAsia" w:ascii="宋体" w:hAnsi="宋体" w:eastAsia="宋体" w:cs="宋体"/>
                <w:w w:val="99"/>
                <w:sz w:val="20"/>
              </w:rPr>
              <w:t>1</w:t>
            </w:r>
          </w:p>
        </w:tc>
        <w:tc>
          <w:tcPr>
            <w:tcW w:w="314" w:type="pct"/>
            <w:noWrap w:val="0"/>
            <w:vAlign w:val="center"/>
          </w:tcPr>
          <w:p w14:paraId="004E360D">
            <w:pPr>
              <w:pStyle w:val="37"/>
              <w:keepNext w:val="0"/>
              <w:keepLines w:val="0"/>
              <w:pageBreakBefore w:val="0"/>
              <w:wordWrap/>
              <w:overflowPunct/>
              <w:topLinePunct w:val="0"/>
              <w:bidi w:val="0"/>
              <w:spacing w:before="53" w:line="440" w:lineRule="exact"/>
              <w:ind w:left="197"/>
              <w:rPr>
                <w:rFonts w:hint="eastAsia" w:ascii="宋体" w:hAnsi="宋体" w:eastAsia="宋体" w:cs="宋体"/>
                <w:color w:val="000000"/>
                <w:sz w:val="20"/>
                <w:lang w:val="en-US" w:eastAsia="zh-CN"/>
              </w:rPr>
            </w:pPr>
            <w:r>
              <w:rPr>
                <w:rFonts w:hint="eastAsia" w:ascii="宋体" w:hAnsi="宋体" w:eastAsia="宋体" w:cs="宋体"/>
                <w:color w:val="000000"/>
                <w:sz w:val="20"/>
              </w:rPr>
              <w:t>1</w:t>
            </w:r>
            <w:r>
              <w:rPr>
                <w:rFonts w:hint="eastAsia" w:ascii="宋体" w:hAnsi="宋体" w:eastAsia="宋体" w:cs="宋体"/>
                <w:color w:val="000000"/>
                <w:sz w:val="20"/>
                <w:lang w:val="en-US" w:eastAsia="zh-CN"/>
              </w:rPr>
              <w:t>4</w:t>
            </w:r>
          </w:p>
        </w:tc>
        <w:tc>
          <w:tcPr>
            <w:tcW w:w="576" w:type="pct"/>
            <w:noWrap w:val="0"/>
            <w:vAlign w:val="center"/>
          </w:tcPr>
          <w:p w14:paraId="771B06C1">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color w:val="000000"/>
                <w:sz w:val="20"/>
                <w:lang w:val="en-US" w:eastAsia="zh-CN"/>
              </w:rPr>
            </w:pPr>
            <w:r>
              <w:rPr>
                <w:rFonts w:hint="eastAsia" w:ascii="宋体" w:hAnsi="宋体" w:eastAsia="宋体" w:cs="宋体"/>
                <w:color w:val="000000"/>
                <w:w w:val="99"/>
                <w:sz w:val="20"/>
                <w:lang w:val="en-US" w:eastAsia="zh-CN"/>
              </w:rPr>
              <w:t>4</w:t>
            </w:r>
          </w:p>
        </w:tc>
        <w:tc>
          <w:tcPr>
            <w:tcW w:w="396" w:type="pct"/>
            <w:noWrap w:val="0"/>
            <w:vAlign w:val="center"/>
          </w:tcPr>
          <w:p w14:paraId="569F3A18">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545" w:type="pct"/>
            <w:noWrap w:val="0"/>
            <w:vAlign w:val="center"/>
          </w:tcPr>
          <w:p w14:paraId="6FCAA421">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880" w:type="pct"/>
            <w:noWrap w:val="0"/>
            <w:vAlign w:val="center"/>
          </w:tcPr>
          <w:p w14:paraId="1F687CDC">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236" w:type="pct"/>
            <w:noWrap w:val="0"/>
            <w:vAlign w:val="center"/>
          </w:tcPr>
          <w:p w14:paraId="4CD73D0B">
            <w:pPr>
              <w:pStyle w:val="37"/>
              <w:keepNext w:val="0"/>
              <w:keepLines w:val="0"/>
              <w:pageBreakBefore w:val="0"/>
              <w:wordWrap/>
              <w:overflowPunct/>
              <w:topLinePunct w:val="0"/>
              <w:bidi w:val="0"/>
              <w:spacing w:before="53" w:line="440" w:lineRule="exact"/>
              <w:ind w:left="34"/>
              <w:jc w:val="center"/>
              <w:rPr>
                <w:rFonts w:hint="eastAsia" w:ascii="宋体" w:hAnsi="宋体" w:eastAsia="宋体" w:cs="宋体"/>
                <w:sz w:val="20"/>
              </w:rPr>
            </w:pPr>
            <w:r>
              <w:rPr>
                <w:rFonts w:hint="eastAsia" w:ascii="宋体" w:hAnsi="宋体" w:eastAsia="宋体" w:cs="宋体"/>
                <w:w w:val="99"/>
                <w:sz w:val="20"/>
              </w:rPr>
              <w:t>1</w:t>
            </w:r>
          </w:p>
        </w:tc>
        <w:tc>
          <w:tcPr>
            <w:tcW w:w="293" w:type="pct"/>
            <w:noWrap w:val="0"/>
            <w:vAlign w:val="center"/>
          </w:tcPr>
          <w:p w14:paraId="501F27A8">
            <w:pPr>
              <w:pStyle w:val="37"/>
              <w:keepNext w:val="0"/>
              <w:keepLines w:val="0"/>
              <w:pageBreakBefore w:val="0"/>
              <w:wordWrap/>
              <w:overflowPunct/>
              <w:topLinePunct w:val="0"/>
              <w:bidi w:val="0"/>
              <w:spacing w:before="53" w:line="440" w:lineRule="exact"/>
              <w:ind w:left="33"/>
              <w:jc w:val="center"/>
              <w:rPr>
                <w:rFonts w:hint="eastAsia" w:ascii="宋体" w:hAnsi="宋体" w:eastAsia="宋体" w:cs="宋体"/>
                <w:sz w:val="20"/>
              </w:rPr>
            </w:pPr>
            <w:r>
              <w:rPr>
                <w:rFonts w:hint="eastAsia" w:ascii="宋体" w:hAnsi="宋体" w:eastAsia="宋体" w:cs="宋体"/>
                <w:w w:val="99"/>
                <w:sz w:val="20"/>
              </w:rPr>
              <w:t>1</w:t>
            </w:r>
          </w:p>
        </w:tc>
        <w:tc>
          <w:tcPr>
            <w:tcW w:w="295" w:type="pct"/>
            <w:noWrap w:val="0"/>
            <w:vAlign w:val="center"/>
          </w:tcPr>
          <w:p w14:paraId="489B3AAE">
            <w:pPr>
              <w:pStyle w:val="37"/>
              <w:keepNext w:val="0"/>
              <w:keepLines w:val="0"/>
              <w:pageBreakBefore w:val="0"/>
              <w:wordWrap/>
              <w:overflowPunct/>
              <w:topLinePunct w:val="0"/>
              <w:bidi w:val="0"/>
              <w:spacing w:before="53" w:line="440" w:lineRule="exact"/>
              <w:ind w:left="185"/>
              <w:rPr>
                <w:rFonts w:hint="eastAsia" w:ascii="宋体" w:hAnsi="宋体" w:eastAsia="宋体" w:cs="宋体"/>
                <w:sz w:val="20"/>
              </w:rPr>
            </w:pPr>
            <w:r>
              <w:rPr>
                <w:rFonts w:hint="eastAsia" w:ascii="宋体" w:hAnsi="宋体" w:eastAsia="宋体" w:cs="宋体"/>
                <w:sz w:val="20"/>
              </w:rPr>
              <w:t>20</w:t>
            </w:r>
          </w:p>
        </w:tc>
        <w:tc>
          <w:tcPr>
            <w:tcW w:w="266" w:type="pct"/>
            <w:noWrap w:val="0"/>
            <w:vAlign w:val="center"/>
          </w:tcPr>
          <w:p w14:paraId="341260BF">
            <w:pPr>
              <w:pStyle w:val="37"/>
              <w:keepNext w:val="0"/>
              <w:keepLines w:val="0"/>
              <w:pageBreakBefore w:val="0"/>
              <w:wordWrap/>
              <w:overflowPunct/>
              <w:topLinePunct w:val="0"/>
              <w:bidi w:val="0"/>
              <w:spacing w:before="53" w:line="440" w:lineRule="exact"/>
              <w:ind w:left="38"/>
              <w:jc w:val="center"/>
              <w:rPr>
                <w:rFonts w:hint="eastAsia" w:ascii="宋体" w:hAnsi="宋体" w:eastAsia="宋体" w:cs="宋体"/>
                <w:sz w:val="20"/>
              </w:rPr>
            </w:pPr>
            <w:r>
              <w:rPr>
                <w:rFonts w:hint="eastAsia" w:ascii="宋体" w:hAnsi="宋体" w:eastAsia="宋体" w:cs="宋体"/>
                <w:w w:val="99"/>
                <w:sz w:val="20"/>
              </w:rPr>
              <w:t>5</w:t>
            </w:r>
          </w:p>
        </w:tc>
        <w:tc>
          <w:tcPr>
            <w:tcW w:w="276" w:type="pct"/>
            <w:noWrap w:val="0"/>
            <w:vAlign w:val="center"/>
          </w:tcPr>
          <w:p w14:paraId="5FC2DEAE">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385" w:type="pct"/>
            <w:vMerge w:val="restart"/>
            <w:noWrap w:val="0"/>
            <w:vAlign w:val="center"/>
          </w:tcPr>
          <w:p w14:paraId="18908431">
            <w:pPr>
              <w:pStyle w:val="37"/>
              <w:keepNext w:val="0"/>
              <w:keepLines w:val="0"/>
              <w:pageBreakBefore w:val="0"/>
              <w:wordWrap/>
              <w:overflowPunct/>
              <w:topLinePunct w:val="0"/>
              <w:bidi w:val="0"/>
              <w:spacing w:line="440" w:lineRule="exact"/>
              <w:ind w:left="293"/>
              <w:rPr>
                <w:rFonts w:hint="eastAsia" w:ascii="宋体" w:hAnsi="宋体" w:eastAsia="宋体" w:cs="宋体"/>
                <w:sz w:val="20"/>
              </w:rPr>
            </w:pPr>
            <w:r>
              <w:rPr>
                <w:rFonts w:hint="eastAsia" w:ascii="宋体" w:hAnsi="宋体" w:eastAsia="宋体" w:cs="宋体"/>
                <w:sz w:val="20"/>
              </w:rPr>
              <w:t>51</w:t>
            </w:r>
          </w:p>
        </w:tc>
      </w:tr>
      <w:tr w14:paraId="0639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95" w:type="pct"/>
            <w:vMerge w:val="continue"/>
            <w:noWrap w:val="0"/>
            <w:vAlign w:val="center"/>
          </w:tcPr>
          <w:p w14:paraId="356D2CD7">
            <w:pPr>
              <w:keepNext w:val="0"/>
              <w:keepLines w:val="0"/>
              <w:pageBreakBefore w:val="0"/>
              <w:wordWrap/>
              <w:overflowPunct/>
              <w:topLinePunct w:val="0"/>
              <w:bidi w:val="0"/>
              <w:spacing w:line="440" w:lineRule="exact"/>
              <w:rPr>
                <w:rFonts w:hint="eastAsia" w:ascii="宋体" w:hAnsi="宋体" w:eastAsia="宋体" w:cs="宋体"/>
                <w:sz w:val="2"/>
                <w:szCs w:val="2"/>
              </w:rPr>
            </w:pPr>
          </w:p>
        </w:tc>
        <w:tc>
          <w:tcPr>
            <w:tcW w:w="236" w:type="pct"/>
            <w:noWrap w:val="0"/>
            <w:vAlign w:val="center"/>
          </w:tcPr>
          <w:p w14:paraId="77E153BB">
            <w:pPr>
              <w:pStyle w:val="37"/>
              <w:keepNext w:val="0"/>
              <w:keepLines w:val="0"/>
              <w:pageBreakBefore w:val="0"/>
              <w:wordWrap/>
              <w:overflowPunct/>
              <w:topLinePunct w:val="0"/>
              <w:bidi w:val="0"/>
              <w:spacing w:before="53" w:line="440" w:lineRule="exact"/>
              <w:ind w:left="28"/>
              <w:jc w:val="center"/>
              <w:rPr>
                <w:rFonts w:hint="eastAsia" w:ascii="宋体" w:hAnsi="宋体" w:eastAsia="宋体" w:cs="宋体"/>
                <w:sz w:val="20"/>
              </w:rPr>
            </w:pPr>
            <w:r>
              <w:rPr>
                <w:rFonts w:hint="eastAsia" w:ascii="宋体" w:hAnsi="宋体" w:eastAsia="宋体" w:cs="宋体"/>
                <w:w w:val="99"/>
                <w:sz w:val="20"/>
              </w:rPr>
              <w:t>2</w:t>
            </w:r>
          </w:p>
        </w:tc>
        <w:tc>
          <w:tcPr>
            <w:tcW w:w="314" w:type="pct"/>
            <w:noWrap w:val="0"/>
            <w:vAlign w:val="center"/>
          </w:tcPr>
          <w:p w14:paraId="03B6D7CA">
            <w:pPr>
              <w:pStyle w:val="37"/>
              <w:keepNext w:val="0"/>
              <w:keepLines w:val="0"/>
              <w:pageBreakBefore w:val="0"/>
              <w:wordWrap/>
              <w:overflowPunct/>
              <w:topLinePunct w:val="0"/>
              <w:bidi w:val="0"/>
              <w:spacing w:before="53" w:line="440" w:lineRule="exact"/>
              <w:ind w:left="197"/>
              <w:rPr>
                <w:rFonts w:hint="eastAsia" w:ascii="宋体" w:hAnsi="宋体" w:eastAsia="宋体" w:cs="宋体"/>
                <w:color w:val="000000"/>
                <w:sz w:val="20"/>
              </w:rPr>
            </w:pPr>
            <w:r>
              <w:rPr>
                <w:rFonts w:hint="eastAsia" w:ascii="宋体" w:hAnsi="宋体" w:eastAsia="宋体" w:cs="宋体"/>
                <w:color w:val="000000"/>
                <w:sz w:val="20"/>
              </w:rPr>
              <w:t>18</w:t>
            </w:r>
          </w:p>
        </w:tc>
        <w:tc>
          <w:tcPr>
            <w:tcW w:w="576" w:type="pct"/>
            <w:noWrap w:val="0"/>
            <w:vAlign w:val="center"/>
          </w:tcPr>
          <w:p w14:paraId="2469281A">
            <w:pPr>
              <w:pStyle w:val="37"/>
              <w:keepNext w:val="0"/>
              <w:keepLines w:val="0"/>
              <w:pageBreakBefore w:val="0"/>
              <w:wordWrap/>
              <w:overflowPunct/>
              <w:topLinePunct w:val="0"/>
              <w:bidi w:val="0"/>
              <w:spacing w:line="440" w:lineRule="exact"/>
              <w:rPr>
                <w:rFonts w:hint="eastAsia" w:ascii="宋体" w:hAnsi="宋体" w:eastAsia="宋体" w:cs="宋体"/>
                <w:color w:val="000000"/>
                <w:sz w:val="20"/>
              </w:rPr>
            </w:pPr>
          </w:p>
        </w:tc>
        <w:tc>
          <w:tcPr>
            <w:tcW w:w="396" w:type="pct"/>
            <w:noWrap w:val="0"/>
            <w:vAlign w:val="center"/>
          </w:tcPr>
          <w:p w14:paraId="58360E49">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545" w:type="pct"/>
            <w:noWrap w:val="0"/>
            <w:vAlign w:val="center"/>
          </w:tcPr>
          <w:p w14:paraId="239957D9">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880" w:type="pct"/>
            <w:noWrap w:val="0"/>
            <w:vAlign w:val="center"/>
          </w:tcPr>
          <w:p w14:paraId="352150EA">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236" w:type="pct"/>
            <w:noWrap w:val="0"/>
            <w:vAlign w:val="center"/>
          </w:tcPr>
          <w:p w14:paraId="7440C0AD">
            <w:pPr>
              <w:pStyle w:val="37"/>
              <w:keepNext w:val="0"/>
              <w:keepLines w:val="0"/>
              <w:pageBreakBefore w:val="0"/>
              <w:wordWrap/>
              <w:overflowPunct/>
              <w:topLinePunct w:val="0"/>
              <w:bidi w:val="0"/>
              <w:spacing w:before="53" w:line="440" w:lineRule="exact"/>
              <w:ind w:left="34"/>
              <w:jc w:val="center"/>
              <w:rPr>
                <w:rFonts w:hint="eastAsia" w:ascii="宋体" w:hAnsi="宋体" w:eastAsia="宋体" w:cs="宋体"/>
                <w:sz w:val="20"/>
              </w:rPr>
            </w:pPr>
            <w:r>
              <w:rPr>
                <w:rFonts w:hint="eastAsia" w:ascii="宋体" w:hAnsi="宋体" w:eastAsia="宋体" w:cs="宋体"/>
                <w:w w:val="99"/>
                <w:sz w:val="20"/>
              </w:rPr>
              <w:t>1</w:t>
            </w:r>
          </w:p>
        </w:tc>
        <w:tc>
          <w:tcPr>
            <w:tcW w:w="293" w:type="pct"/>
            <w:noWrap w:val="0"/>
            <w:vAlign w:val="center"/>
          </w:tcPr>
          <w:p w14:paraId="4FB97267">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295" w:type="pct"/>
            <w:noWrap w:val="0"/>
            <w:vAlign w:val="center"/>
          </w:tcPr>
          <w:p w14:paraId="03DBCD0D">
            <w:pPr>
              <w:pStyle w:val="37"/>
              <w:keepNext w:val="0"/>
              <w:keepLines w:val="0"/>
              <w:pageBreakBefore w:val="0"/>
              <w:wordWrap/>
              <w:overflowPunct/>
              <w:topLinePunct w:val="0"/>
              <w:bidi w:val="0"/>
              <w:spacing w:before="53" w:line="440" w:lineRule="exact"/>
              <w:ind w:left="185"/>
              <w:rPr>
                <w:rFonts w:hint="eastAsia" w:ascii="宋体" w:hAnsi="宋体" w:eastAsia="宋体" w:cs="宋体"/>
                <w:sz w:val="20"/>
              </w:rPr>
            </w:pPr>
            <w:r>
              <w:rPr>
                <w:rFonts w:hint="eastAsia" w:ascii="宋体" w:hAnsi="宋体" w:eastAsia="宋体" w:cs="宋体"/>
                <w:sz w:val="20"/>
              </w:rPr>
              <w:t>19</w:t>
            </w:r>
          </w:p>
        </w:tc>
        <w:tc>
          <w:tcPr>
            <w:tcW w:w="266" w:type="pct"/>
            <w:noWrap w:val="0"/>
            <w:vAlign w:val="center"/>
          </w:tcPr>
          <w:p w14:paraId="3BB274D4">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276" w:type="pct"/>
            <w:noWrap w:val="0"/>
            <w:vAlign w:val="center"/>
          </w:tcPr>
          <w:p w14:paraId="49E7E970">
            <w:pPr>
              <w:pStyle w:val="37"/>
              <w:keepNext w:val="0"/>
              <w:keepLines w:val="0"/>
              <w:pageBreakBefore w:val="0"/>
              <w:wordWrap/>
              <w:overflowPunct/>
              <w:topLinePunct w:val="0"/>
              <w:bidi w:val="0"/>
              <w:spacing w:before="53" w:line="440" w:lineRule="exact"/>
              <w:ind w:left="38"/>
              <w:jc w:val="center"/>
              <w:rPr>
                <w:rFonts w:hint="eastAsia" w:ascii="宋体" w:hAnsi="宋体" w:eastAsia="宋体" w:cs="宋体"/>
                <w:sz w:val="20"/>
              </w:rPr>
            </w:pPr>
            <w:r>
              <w:rPr>
                <w:rFonts w:hint="eastAsia" w:ascii="宋体" w:hAnsi="宋体" w:eastAsia="宋体" w:cs="宋体"/>
                <w:w w:val="99"/>
                <w:sz w:val="20"/>
              </w:rPr>
              <w:t>7</w:t>
            </w:r>
          </w:p>
        </w:tc>
        <w:tc>
          <w:tcPr>
            <w:tcW w:w="385" w:type="pct"/>
            <w:vMerge w:val="continue"/>
            <w:noWrap w:val="0"/>
            <w:vAlign w:val="center"/>
          </w:tcPr>
          <w:p w14:paraId="06A449C1">
            <w:pPr>
              <w:keepNext w:val="0"/>
              <w:keepLines w:val="0"/>
              <w:pageBreakBefore w:val="0"/>
              <w:wordWrap/>
              <w:overflowPunct/>
              <w:topLinePunct w:val="0"/>
              <w:bidi w:val="0"/>
              <w:spacing w:line="440" w:lineRule="exact"/>
              <w:rPr>
                <w:rFonts w:hint="eastAsia" w:ascii="宋体" w:hAnsi="宋体" w:eastAsia="宋体" w:cs="宋体"/>
                <w:sz w:val="2"/>
                <w:szCs w:val="2"/>
              </w:rPr>
            </w:pPr>
          </w:p>
        </w:tc>
      </w:tr>
      <w:tr w14:paraId="6D8A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95" w:type="pct"/>
            <w:vMerge w:val="restart"/>
            <w:noWrap w:val="0"/>
            <w:vAlign w:val="center"/>
          </w:tcPr>
          <w:p w14:paraId="2CE9D975">
            <w:pPr>
              <w:pStyle w:val="37"/>
              <w:keepNext w:val="0"/>
              <w:keepLines w:val="0"/>
              <w:pageBreakBefore w:val="0"/>
              <w:wordWrap/>
              <w:overflowPunct/>
              <w:topLinePunct w:val="0"/>
              <w:bidi w:val="0"/>
              <w:spacing w:line="440" w:lineRule="exact"/>
              <w:ind w:left="167"/>
              <w:rPr>
                <w:rFonts w:hint="eastAsia" w:ascii="宋体" w:hAnsi="宋体" w:eastAsia="宋体" w:cs="宋体"/>
                <w:sz w:val="20"/>
              </w:rPr>
            </w:pPr>
            <w:r>
              <w:rPr>
                <w:rFonts w:hint="eastAsia" w:ascii="宋体" w:hAnsi="宋体" w:eastAsia="宋体" w:cs="宋体"/>
                <w:w w:val="99"/>
                <w:sz w:val="20"/>
              </w:rPr>
              <w:t>二</w:t>
            </w:r>
          </w:p>
        </w:tc>
        <w:tc>
          <w:tcPr>
            <w:tcW w:w="236" w:type="pct"/>
            <w:noWrap w:val="0"/>
            <w:vAlign w:val="center"/>
          </w:tcPr>
          <w:p w14:paraId="689A351D">
            <w:pPr>
              <w:pStyle w:val="37"/>
              <w:keepNext w:val="0"/>
              <w:keepLines w:val="0"/>
              <w:pageBreakBefore w:val="0"/>
              <w:wordWrap/>
              <w:overflowPunct/>
              <w:topLinePunct w:val="0"/>
              <w:bidi w:val="0"/>
              <w:spacing w:before="55" w:line="440" w:lineRule="exact"/>
              <w:ind w:left="28"/>
              <w:jc w:val="center"/>
              <w:rPr>
                <w:rFonts w:hint="eastAsia" w:ascii="宋体" w:hAnsi="宋体" w:eastAsia="宋体" w:cs="宋体"/>
                <w:sz w:val="20"/>
              </w:rPr>
            </w:pPr>
            <w:r>
              <w:rPr>
                <w:rFonts w:hint="eastAsia" w:ascii="宋体" w:hAnsi="宋体" w:eastAsia="宋体" w:cs="宋体"/>
                <w:w w:val="99"/>
                <w:sz w:val="20"/>
              </w:rPr>
              <w:t>1</w:t>
            </w:r>
          </w:p>
        </w:tc>
        <w:tc>
          <w:tcPr>
            <w:tcW w:w="314" w:type="pct"/>
            <w:noWrap w:val="0"/>
            <w:vAlign w:val="center"/>
          </w:tcPr>
          <w:p w14:paraId="7F1FA5BA">
            <w:pPr>
              <w:pStyle w:val="37"/>
              <w:keepNext w:val="0"/>
              <w:keepLines w:val="0"/>
              <w:pageBreakBefore w:val="0"/>
              <w:wordWrap/>
              <w:overflowPunct/>
              <w:topLinePunct w:val="0"/>
              <w:bidi w:val="0"/>
              <w:spacing w:before="55" w:line="440" w:lineRule="exact"/>
              <w:ind w:left="197"/>
              <w:rPr>
                <w:rFonts w:hint="eastAsia" w:ascii="宋体" w:hAnsi="宋体" w:eastAsia="宋体" w:cs="宋体"/>
                <w:color w:val="000000"/>
                <w:sz w:val="20"/>
              </w:rPr>
            </w:pPr>
            <w:r>
              <w:rPr>
                <w:rFonts w:hint="eastAsia" w:ascii="宋体" w:hAnsi="宋体" w:eastAsia="宋体" w:cs="宋体"/>
                <w:color w:val="000000"/>
                <w:sz w:val="20"/>
              </w:rPr>
              <w:t>18</w:t>
            </w:r>
          </w:p>
        </w:tc>
        <w:tc>
          <w:tcPr>
            <w:tcW w:w="576" w:type="pct"/>
            <w:noWrap w:val="0"/>
            <w:vAlign w:val="center"/>
          </w:tcPr>
          <w:p w14:paraId="0C07AD6F">
            <w:pPr>
              <w:pStyle w:val="37"/>
              <w:keepNext w:val="0"/>
              <w:keepLines w:val="0"/>
              <w:pageBreakBefore w:val="0"/>
              <w:wordWrap/>
              <w:overflowPunct/>
              <w:topLinePunct w:val="0"/>
              <w:bidi w:val="0"/>
              <w:spacing w:line="440" w:lineRule="exact"/>
              <w:rPr>
                <w:rFonts w:hint="eastAsia" w:ascii="宋体" w:hAnsi="宋体" w:eastAsia="宋体" w:cs="宋体"/>
                <w:color w:val="000000"/>
                <w:sz w:val="20"/>
              </w:rPr>
            </w:pPr>
          </w:p>
        </w:tc>
        <w:tc>
          <w:tcPr>
            <w:tcW w:w="396" w:type="pct"/>
            <w:noWrap w:val="0"/>
            <w:vAlign w:val="center"/>
          </w:tcPr>
          <w:p w14:paraId="669A2809">
            <w:pPr>
              <w:pStyle w:val="37"/>
              <w:keepNext w:val="0"/>
              <w:keepLines w:val="0"/>
              <w:pageBreakBefore w:val="0"/>
              <w:wordWrap/>
              <w:overflowPunct/>
              <w:topLinePunct w:val="0"/>
              <w:bidi w:val="0"/>
              <w:spacing w:before="55" w:line="440" w:lineRule="exact"/>
              <w:ind w:left="26"/>
              <w:jc w:val="center"/>
              <w:rPr>
                <w:rFonts w:hint="eastAsia" w:ascii="宋体" w:hAnsi="宋体" w:eastAsia="宋体" w:cs="宋体"/>
                <w:sz w:val="20"/>
              </w:rPr>
            </w:pPr>
          </w:p>
        </w:tc>
        <w:tc>
          <w:tcPr>
            <w:tcW w:w="545" w:type="pct"/>
            <w:noWrap w:val="0"/>
            <w:vAlign w:val="center"/>
          </w:tcPr>
          <w:p w14:paraId="40880FDD">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880" w:type="pct"/>
            <w:noWrap w:val="0"/>
            <w:vAlign w:val="center"/>
          </w:tcPr>
          <w:p w14:paraId="247DEADC">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236" w:type="pct"/>
            <w:noWrap w:val="0"/>
            <w:vAlign w:val="center"/>
          </w:tcPr>
          <w:p w14:paraId="50A1059D">
            <w:pPr>
              <w:pStyle w:val="37"/>
              <w:keepNext w:val="0"/>
              <w:keepLines w:val="0"/>
              <w:pageBreakBefore w:val="0"/>
              <w:wordWrap/>
              <w:overflowPunct/>
              <w:topLinePunct w:val="0"/>
              <w:bidi w:val="0"/>
              <w:spacing w:before="55" w:line="440" w:lineRule="exact"/>
              <w:ind w:left="34"/>
              <w:jc w:val="center"/>
              <w:rPr>
                <w:rFonts w:hint="eastAsia" w:ascii="宋体" w:hAnsi="宋体" w:eastAsia="宋体" w:cs="宋体"/>
                <w:sz w:val="20"/>
              </w:rPr>
            </w:pPr>
            <w:r>
              <w:rPr>
                <w:rFonts w:hint="eastAsia" w:ascii="宋体" w:hAnsi="宋体" w:eastAsia="宋体" w:cs="宋体"/>
                <w:w w:val="99"/>
                <w:sz w:val="20"/>
              </w:rPr>
              <w:t>1</w:t>
            </w:r>
          </w:p>
        </w:tc>
        <w:tc>
          <w:tcPr>
            <w:tcW w:w="293" w:type="pct"/>
            <w:noWrap w:val="0"/>
            <w:vAlign w:val="center"/>
          </w:tcPr>
          <w:p w14:paraId="698FFC9E">
            <w:pPr>
              <w:pStyle w:val="37"/>
              <w:keepNext w:val="0"/>
              <w:keepLines w:val="0"/>
              <w:pageBreakBefore w:val="0"/>
              <w:wordWrap/>
              <w:overflowPunct/>
              <w:topLinePunct w:val="0"/>
              <w:bidi w:val="0"/>
              <w:spacing w:before="55" w:line="440" w:lineRule="exact"/>
              <w:ind w:left="33"/>
              <w:jc w:val="center"/>
              <w:rPr>
                <w:rFonts w:hint="eastAsia" w:ascii="宋体" w:hAnsi="宋体" w:eastAsia="宋体" w:cs="宋体"/>
                <w:sz w:val="20"/>
              </w:rPr>
            </w:pPr>
            <w:r>
              <w:rPr>
                <w:rFonts w:hint="eastAsia" w:ascii="宋体" w:hAnsi="宋体" w:eastAsia="宋体" w:cs="宋体"/>
                <w:w w:val="99"/>
                <w:sz w:val="20"/>
              </w:rPr>
              <w:t>1</w:t>
            </w:r>
          </w:p>
        </w:tc>
        <w:tc>
          <w:tcPr>
            <w:tcW w:w="295" w:type="pct"/>
            <w:noWrap w:val="0"/>
            <w:vAlign w:val="center"/>
          </w:tcPr>
          <w:p w14:paraId="1E0255AE">
            <w:pPr>
              <w:pStyle w:val="37"/>
              <w:keepNext w:val="0"/>
              <w:keepLines w:val="0"/>
              <w:pageBreakBefore w:val="0"/>
              <w:wordWrap/>
              <w:overflowPunct/>
              <w:topLinePunct w:val="0"/>
              <w:bidi w:val="0"/>
              <w:spacing w:before="55" w:line="440" w:lineRule="exact"/>
              <w:ind w:left="185"/>
              <w:rPr>
                <w:rFonts w:hint="eastAsia" w:ascii="宋体" w:hAnsi="宋体" w:eastAsia="宋体" w:cs="宋体"/>
                <w:sz w:val="20"/>
              </w:rPr>
            </w:pPr>
            <w:r>
              <w:rPr>
                <w:rFonts w:hint="eastAsia" w:ascii="宋体" w:hAnsi="宋体" w:eastAsia="宋体" w:cs="宋体"/>
                <w:sz w:val="20"/>
              </w:rPr>
              <w:t>20</w:t>
            </w:r>
          </w:p>
        </w:tc>
        <w:tc>
          <w:tcPr>
            <w:tcW w:w="266" w:type="pct"/>
            <w:noWrap w:val="0"/>
            <w:vAlign w:val="center"/>
          </w:tcPr>
          <w:p w14:paraId="3F7DBF83">
            <w:pPr>
              <w:pStyle w:val="37"/>
              <w:keepNext w:val="0"/>
              <w:keepLines w:val="0"/>
              <w:pageBreakBefore w:val="0"/>
              <w:wordWrap/>
              <w:overflowPunct/>
              <w:topLinePunct w:val="0"/>
              <w:bidi w:val="0"/>
              <w:spacing w:before="55" w:line="440" w:lineRule="exact"/>
              <w:ind w:left="38"/>
              <w:jc w:val="center"/>
              <w:rPr>
                <w:rFonts w:hint="eastAsia" w:ascii="宋体" w:hAnsi="宋体" w:eastAsia="宋体" w:cs="宋体"/>
                <w:sz w:val="20"/>
              </w:rPr>
            </w:pPr>
            <w:r>
              <w:rPr>
                <w:rFonts w:hint="eastAsia" w:ascii="宋体" w:hAnsi="宋体" w:eastAsia="宋体" w:cs="宋体"/>
                <w:w w:val="99"/>
                <w:sz w:val="20"/>
              </w:rPr>
              <w:t>5</w:t>
            </w:r>
          </w:p>
        </w:tc>
        <w:tc>
          <w:tcPr>
            <w:tcW w:w="276" w:type="pct"/>
            <w:noWrap w:val="0"/>
            <w:vAlign w:val="center"/>
          </w:tcPr>
          <w:p w14:paraId="4A49D6B0">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385" w:type="pct"/>
            <w:vMerge w:val="restart"/>
            <w:noWrap w:val="0"/>
            <w:vAlign w:val="center"/>
          </w:tcPr>
          <w:p w14:paraId="69A27BE2">
            <w:pPr>
              <w:pStyle w:val="37"/>
              <w:keepNext w:val="0"/>
              <w:keepLines w:val="0"/>
              <w:pageBreakBefore w:val="0"/>
              <w:wordWrap/>
              <w:overflowPunct/>
              <w:topLinePunct w:val="0"/>
              <w:bidi w:val="0"/>
              <w:spacing w:line="440" w:lineRule="exact"/>
              <w:ind w:left="293"/>
              <w:rPr>
                <w:rFonts w:hint="eastAsia" w:ascii="宋体" w:hAnsi="宋体" w:eastAsia="宋体" w:cs="宋体"/>
                <w:sz w:val="20"/>
              </w:rPr>
            </w:pPr>
            <w:r>
              <w:rPr>
                <w:rFonts w:hint="eastAsia" w:ascii="宋体" w:hAnsi="宋体" w:eastAsia="宋体" w:cs="宋体"/>
                <w:sz w:val="20"/>
              </w:rPr>
              <w:t>51</w:t>
            </w:r>
          </w:p>
        </w:tc>
      </w:tr>
      <w:tr w14:paraId="5CD6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95" w:type="pct"/>
            <w:vMerge w:val="continue"/>
            <w:noWrap w:val="0"/>
            <w:vAlign w:val="center"/>
          </w:tcPr>
          <w:p w14:paraId="477CEEDD">
            <w:pPr>
              <w:keepNext w:val="0"/>
              <w:keepLines w:val="0"/>
              <w:pageBreakBefore w:val="0"/>
              <w:wordWrap/>
              <w:overflowPunct/>
              <w:topLinePunct w:val="0"/>
              <w:bidi w:val="0"/>
              <w:spacing w:line="440" w:lineRule="exact"/>
              <w:rPr>
                <w:rFonts w:hint="eastAsia" w:ascii="宋体" w:hAnsi="宋体" w:eastAsia="宋体" w:cs="宋体"/>
                <w:sz w:val="2"/>
                <w:szCs w:val="2"/>
              </w:rPr>
            </w:pPr>
          </w:p>
        </w:tc>
        <w:tc>
          <w:tcPr>
            <w:tcW w:w="236" w:type="pct"/>
            <w:noWrap w:val="0"/>
            <w:vAlign w:val="center"/>
          </w:tcPr>
          <w:p w14:paraId="1AF15284">
            <w:pPr>
              <w:pStyle w:val="37"/>
              <w:keepNext w:val="0"/>
              <w:keepLines w:val="0"/>
              <w:pageBreakBefore w:val="0"/>
              <w:wordWrap/>
              <w:overflowPunct/>
              <w:topLinePunct w:val="0"/>
              <w:bidi w:val="0"/>
              <w:spacing w:before="53" w:line="440" w:lineRule="exact"/>
              <w:ind w:left="28"/>
              <w:jc w:val="center"/>
              <w:rPr>
                <w:rFonts w:hint="eastAsia" w:ascii="宋体" w:hAnsi="宋体" w:eastAsia="宋体" w:cs="宋体"/>
                <w:sz w:val="20"/>
              </w:rPr>
            </w:pPr>
            <w:r>
              <w:rPr>
                <w:rFonts w:hint="eastAsia" w:ascii="宋体" w:hAnsi="宋体" w:eastAsia="宋体" w:cs="宋体"/>
                <w:w w:val="99"/>
                <w:sz w:val="20"/>
              </w:rPr>
              <w:t>2</w:t>
            </w:r>
          </w:p>
        </w:tc>
        <w:tc>
          <w:tcPr>
            <w:tcW w:w="314" w:type="pct"/>
            <w:noWrap w:val="0"/>
            <w:vAlign w:val="center"/>
          </w:tcPr>
          <w:p w14:paraId="7616D637">
            <w:pPr>
              <w:pStyle w:val="37"/>
              <w:keepNext w:val="0"/>
              <w:keepLines w:val="0"/>
              <w:pageBreakBefore w:val="0"/>
              <w:wordWrap/>
              <w:overflowPunct/>
              <w:topLinePunct w:val="0"/>
              <w:bidi w:val="0"/>
              <w:spacing w:before="53" w:line="440" w:lineRule="exact"/>
              <w:ind w:left="197"/>
              <w:rPr>
                <w:rFonts w:hint="eastAsia" w:ascii="宋体" w:hAnsi="宋体" w:eastAsia="宋体" w:cs="宋体"/>
                <w:color w:val="000000"/>
                <w:sz w:val="20"/>
              </w:rPr>
            </w:pPr>
            <w:r>
              <w:rPr>
                <w:rFonts w:hint="eastAsia" w:ascii="宋体" w:hAnsi="宋体" w:eastAsia="宋体" w:cs="宋体"/>
                <w:color w:val="000000"/>
                <w:sz w:val="20"/>
              </w:rPr>
              <w:t>18</w:t>
            </w:r>
          </w:p>
        </w:tc>
        <w:tc>
          <w:tcPr>
            <w:tcW w:w="576" w:type="pct"/>
            <w:noWrap w:val="0"/>
            <w:vAlign w:val="center"/>
          </w:tcPr>
          <w:p w14:paraId="1FDA99D5">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color w:val="000000"/>
                <w:sz w:val="20"/>
              </w:rPr>
            </w:pPr>
          </w:p>
        </w:tc>
        <w:tc>
          <w:tcPr>
            <w:tcW w:w="396" w:type="pct"/>
            <w:noWrap w:val="0"/>
            <w:vAlign w:val="center"/>
          </w:tcPr>
          <w:p w14:paraId="66694A2A">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545" w:type="pct"/>
            <w:noWrap w:val="0"/>
            <w:vAlign w:val="center"/>
          </w:tcPr>
          <w:p w14:paraId="1717E0C0">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880" w:type="pct"/>
            <w:noWrap w:val="0"/>
            <w:vAlign w:val="center"/>
          </w:tcPr>
          <w:p w14:paraId="5BC98E65">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236" w:type="pct"/>
            <w:noWrap w:val="0"/>
            <w:vAlign w:val="center"/>
          </w:tcPr>
          <w:p w14:paraId="3DC3820E">
            <w:pPr>
              <w:pStyle w:val="37"/>
              <w:keepNext w:val="0"/>
              <w:keepLines w:val="0"/>
              <w:pageBreakBefore w:val="0"/>
              <w:wordWrap/>
              <w:overflowPunct/>
              <w:topLinePunct w:val="0"/>
              <w:bidi w:val="0"/>
              <w:spacing w:before="53" w:line="440" w:lineRule="exact"/>
              <w:ind w:left="34"/>
              <w:jc w:val="center"/>
              <w:rPr>
                <w:rFonts w:hint="eastAsia" w:ascii="宋体" w:hAnsi="宋体" w:eastAsia="宋体" w:cs="宋体"/>
                <w:sz w:val="20"/>
              </w:rPr>
            </w:pPr>
            <w:r>
              <w:rPr>
                <w:rFonts w:hint="eastAsia" w:ascii="宋体" w:hAnsi="宋体" w:eastAsia="宋体" w:cs="宋体"/>
                <w:w w:val="99"/>
                <w:sz w:val="20"/>
              </w:rPr>
              <w:t>1</w:t>
            </w:r>
          </w:p>
        </w:tc>
        <w:tc>
          <w:tcPr>
            <w:tcW w:w="293" w:type="pct"/>
            <w:noWrap w:val="0"/>
            <w:vAlign w:val="center"/>
          </w:tcPr>
          <w:p w14:paraId="46A873C0">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295" w:type="pct"/>
            <w:noWrap w:val="0"/>
            <w:vAlign w:val="center"/>
          </w:tcPr>
          <w:p w14:paraId="777AA0A2">
            <w:pPr>
              <w:pStyle w:val="37"/>
              <w:keepNext w:val="0"/>
              <w:keepLines w:val="0"/>
              <w:pageBreakBefore w:val="0"/>
              <w:wordWrap/>
              <w:overflowPunct/>
              <w:topLinePunct w:val="0"/>
              <w:bidi w:val="0"/>
              <w:spacing w:before="53" w:line="440" w:lineRule="exact"/>
              <w:ind w:left="185"/>
              <w:rPr>
                <w:rFonts w:hint="eastAsia" w:ascii="宋体" w:hAnsi="宋体" w:eastAsia="宋体" w:cs="宋体"/>
                <w:sz w:val="20"/>
              </w:rPr>
            </w:pPr>
            <w:r>
              <w:rPr>
                <w:rFonts w:hint="eastAsia" w:ascii="宋体" w:hAnsi="宋体" w:eastAsia="宋体" w:cs="宋体"/>
                <w:sz w:val="20"/>
              </w:rPr>
              <w:t>19</w:t>
            </w:r>
          </w:p>
        </w:tc>
        <w:tc>
          <w:tcPr>
            <w:tcW w:w="266" w:type="pct"/>
            <w:noWrap w:val="0"/>
            <w:vAlign w:val="center"/>
          </w:tcPr>
          <w:p w14:paraId="6FA32E72">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276" w:type="pct"/>
            <w:noWrap w:val="0"/>
            <w:vAlign w:val="center"/>
          </w:tcPr>
          <w:p w14:paraId="129518FB">
            <w:pPr>
              <w:pStyle w:val="37"/>
              <w:keepNext w:val="0"/>
              <w:keepLines w:val="0"/>
              <w:pageBreakBefore w:val="0"/>
              <w:wordWrap/>
              <w:overflowPunct/>
              <w:topLinePunct w:val="0"/>
              <w:bidi w:val="0"/>
              <w:spacing w:before="53" w:line="440" w:lineRule="exact"/>
              <w:ind w:left="38"/>
              <w:jc w:val="center"/>
              <w:rPr>
                <w:rFonts w:hint="eastAsia" w:ascii="宋体" w:hAnsi="宋体" w:eastAsia="宋体" w:cs="宋体"/>
                <w:sz w:val="20"/>
              </w:rPr>
            </w:pPr>
            <w:r>
              <w:rPr>
                <w:rFonts w:hint="eastAsia" w:ascii="宋体" w:hAnsi="宋体" w:eastAsia="宋体" w:cs="宋体"/>
                <w:w w:val="99"/>
                <w:sz w:val="20"/>
              </w:rPr>
              <w:t>7</w:t>
            </w:r>
          </w:p>
        </w:tc>
        <w:tc>
          <w:tcPr>
            <w:tcW w:w="385" w:type="pct"/>
            <w:vMerge w:val="continue"/>
            <w:noWrap w:val="0"/>
            <w:vAlign w:val="center"/>
          </w:tcPr>
          <w:p w14:paraId="71BD4E83">
            <w:pPr>
              <w:keepNext w:val="0"/>
              <w:keepLines w:val="0"/>
              <w:pageBreakBefore w:val="0"/>
              <w:wordWrap/>
              <w:overflowPunct/>
              <w:topLinePunct w:val="0"/>
              <w:bidi w:val="0"/>
              <w:spacing w:line="440" w:lineRule="exact"/>
              <w:rPr>
                <w:rFonts w:hint="eastAsia" w:ascii="宋体" w:hAnsi="宋体" w:eastAsia="宋体" w:cs="宋体"/>
                <w:sz w:val="2"/>
                <w:szCs w:val="2"/>
              </w:rPr>
            </w:pPr>
          </w:p>
        </w:tc>
      </w:tr>
      <w:tr w14:paraId="02C5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95" w:type="pct"/>
            <w:vMerge w:val="restart"/>
            <w:noWrap w:val="0"/>
            <w:vAlign w:val="center"/>
          </w:tcPr>
          <w:p w14:paraId="788FD711">
            <w:pPr>
              <w:pStyle w:val="37"/>
              <w:keepNext w:val="0"/>
              <w:keepLines w:val="0"/>
              <w:pageBreakBefore w:val="0"/>
              <w:wordWrap/>
              <w:overflowPunct/>
              <w:topLinePunct w:val="0"/>
              <w:bidi w:val="0"/>
              <w:spacing w:line="440" w:lineRule="exact"/>
              <w:ind w:left="167"/>
              <w:rPr>
                <w:rFonts w:hint="eastAsia" w:ascii="宋体" w:hAnsi="宋体" w:eastAsia="宋体" w:cs="宋体"/>
                <w:sz w:val="20"/>
              </w:rPr>
            </w:pPr>
            <w:r>
              <w:rPr>
                <w:rFonts w:hint="eastAsia" w:ascii="宋体" w:hAnsi="宋体" w:eastAsia="宋体" w:cs="宋体"/>
                <w:w w:val="99"/>
                <w:sz w:val="20"/>
              </w:rPr>
              <w:t>三</w:t>
            </w:r>
          </w:p>
        </w:tc>
        <w:tc>
          <w:tcPr>
            <w:tcW w:w="236" w:type="pct"/>
            <w:noWrap w:val="0"/>
            <w:vAlign w:val="center"/>
          </w:tcPr>
          <w:p w14:paraId="3751AC70">
            <w:pPr>
              <w:pStyle w:val="37"/>
              <w:keepNext w:val="0"/>
              <w:keepLines w:val="0"/>
              <w:pageBreakBefore w:val="0"/>
              <w:wordWrap/>
              <w:overflowPunct/>
              <w:topLinePunct w:val="0"/>
              <w:bidi w:val="0"/>
              <w:spacing w:before="53" w:line="440" w:lineRule="exact"/>
              <w:ind w:left="28"/>
              <w:jc w:val="center"/>
              <w:rPr>
                <w:rFonts w:hint="eastAsia" w:ascii="宋体" w:hAnsi="宋体" w:eastAsia="宋体" w:cs="宋体"/>
                <w:sz w:val="20"/>
              </w:rPr>
            </w:pPr>
            <w:r>
              <w:rPr>
                <w:rFonts w:hint="eastAsia" w:ascii="宋体" w:hAnsi="宋体" w:eastAsia="宋体" w:cs="宋体"/>
                <w:w w:val="99"/>
                <w:sz w:val="20"/>
              </w:rPr>
              <w:t>1</w:t>
            </w:r>
          </w:p>
        </w:tc>
        <w:tc>
          <w:tcPr>
            <w:tcW w:w="314" w:type="pct"/>
            <w:noWrap w:val="0"/>
            <w:vAlign w:val="center"/>
          </w:tcPr>
          <w:p w14:paraId="4B92C84B">
            <w:pPr>
              <w:pStyle w:val="37"/>
              <w:keepNext w:val="0"/>
              <w:keepLines w:val="0"/>
              <w:pageBreakBefore w:val="0"/>
              <w:wordWrap/>
              <w:overflowPunct/>
              <w:topLinePunct w:val="0"/>
              <w:bidi w:val="0"/>
              <w:spacing w:before="53" w:line="440" w:lineRule="exact"/>
              <w:jc w:val="center"/>
              <w:rPr>
                <w:rFonts w:hint="eastAsia" w:ascii="宋体" w:hAnsi="宋体" w:eastAsia="宋体" w:cs="宋体"/>
                <w:color w:val="000000"/>
                <w:sz w:val="20"/>
                <w:lang w:val="en-US" w:eastAsia="zh-CN"/>
              </w:rPr>
            </w:pPr>
            <w:r>
              <w:rPr>
                <w:rFonts w:hint="eastAsia" w:ascii="宋体" w:hAnsi="宋体" w:eastAsia="宋体" w:cs="宋体"/>
                <w:color w:val="000000"/>
                <w:sz w:val="20"/>
                <w:lang w:val="en-US" w:eastAsia="zh-CN"/>
              </w:rPr>
              <w:t>18</w:t>
            </w:r>
          </w:p>
        </w:tc>
        <w:tc>
          <w:tcPr>
            <w:tcW w:w="576" w:type="pct"/>
            <w:noWrap w:val="0"/>
            <w:vAlign w:val="center"/>
          </w:tcPr>
          <w:p w14:paraId="2B304F30">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color w:val="000000"/>
                <w:sz w:val="20"/>
              </w:rPr>
            </w:pPr>
          </w:p>
        </w:tc>
        <w:tc>
          <w:tcPr>
            <w:tcW w:w="396" w:type="pct"/>
            <w:noWrap w:val="0"/>
            <w:vAlign w:val="center"/>
          </w:tcPr>
          <w:p w14:paraId="2AEDA9BF">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545" w:type="pct"/>
            <w:noWrap w:val="0"/>
            <w:vAlign w:val="center"/>
          </w:tcPr>
          <w:p w14:paraId="0038E49A">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880" w:type="pct"/>
            <w:noWrap w:val="0"/>
            <w:vAlign w:val="center"/>
          </w:tcPr>
          <w:p w14:paraId="00368E07">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236" w:type="pct"/>
            <w:noWrap w:val="0"/>
            <w:vAlign w:val="center"/>
          </w:tcPr>
          <w:p w14:paraId="4C0B6411">
            <w:pPr>
              <w:pStyle w:val="37"/>
              <w:keepNext w:val="0"/>
              <w:keepLines w:val="0"/>
              <w:pageBreakBefore w:val="0"/>
              <w:wordWrap/>
              <w:overflowPunct/>
              <w:topLinePunct w:val="0"/>
              <w:bidi w:val="0"/>
              <w:spacing w:before="53" w:line="440" w:lineRule="exact"/>
              <w:ind w:left="34"/>
              <w:jc w:val="center"/>
              <w:rPr>
                <w:rFonts w:hint="eastAsia" w:ascii="宋体" w:hAnsi="宋体" w:eastAsia="宋体" w:cs="宋体"/>
                <w:sz w:val="20"/>
                <w:lang w:val="en-US" w:eastAsia="zh-CN"/>
              </w:rPr>
            </w:pPr>
            <w:r>
              <w:rPr>
                <w:rFonts w:hint="eastAsia" w:ascii="宋体" w:hAnsi="宋体" w:eastAsia="宋体" w:cs="宋体"/>
                <w:sz w:val="20"/>
                <w:lang w:val="en-US" w:eastAsia="zh-CN"/>
              </w:rPr>
              <w:t>1</w:t>
            </w:r>
          </w:p>
        </w:tc>
        <w:tc>
          <w:tcPr>
            <w:tcW w:w="293" w:type="pct"/>
            <w:noWrap w:val="0"/>
            <w:vAlign w:val="center"/>
          </w:tcPr>
          <w:p w14:paraId="2322283B">
            <w:pPr>
              <w:pStyle w:val="37"/>
              <w:keepNext w:val="0"/>
              <w:keepLines w:val="0"/>
              <w:pageBreakBefore w:val="0"/>
              <w:wordWrap/>
              <w:overflowPunct/>
              <w:topLinePunct w:val="0"/>
              <w:bidi w:val="0"/>
              <w:spacing w:before="53" w:line="440" w:lineRule="exact"/>
              <w:ind w:left="33"/>
              <w:jc w:val="center"/>
              <w:rPr>
                <w:rFonts w:hint="eastAsia" w:ascii="宋体" w:hAnsi="宋体" w:eastAsia="宋体" w:cs="宋体"/>
                <w:sz w:val="20"/>
              </w:rPr>
            </w:pPr>
            <w:r>
              <w:rPr>
                <w:rFonts w:hint="eastAsia" w:ascii="宋体" w:hAnsi="宋体" w:eastAsia="宋体" w:cs="宋体"/>
                <w:w w:val="99"/>
                <w:sz w:val="20"/>
              </w:rPr>
              <w:t>1</w:t>
            </w:r>
          </w:p>
        </w:tc>
        <w:tc>
          <w:tcPr>
            <w:tcW w:w="295" w:type="pct"/>
            <w:noWrap w:val="0"/>
            <w:vAlign w:val="center"/>
          </w:tcPr>
          <w:p w14:paraId="6B1CA72F">
            <w:pPr>
              <w:pStyle w:val="37"/>
              <w:keepNext w:val="0"/>
              <w:keepLines w:val="0"/>
              <w:pageBreakBefore w:val="0"/>
              <w:wordWrap/>
              <w:overflowPunct/>
              <w:topLinePunct w:val="0"/>
              <w:bidi w:val="0"/>
              <w:spacing w:before="53" w:line="440" w:lineRule="exact"/>
              <w:ind w:left="185"/>
              <w:rPr>
                <w:rFonts w:hint="eastAsia" w:ascii="宋体" w:hAnsi="宋体" w:eastAsia="宋体" w:cs="宋体"/>
                <w:sz w:val="20"/>
              </w:rPr>
            </w:pPr>
            <w:r>
              <w:rPr>
                <w:rFonts w:hint="eastAsia" w:ascii="宋体" w:hAnsi="宋体" w:eastAsia="宋体" w:cs="宋体"/>
                <w:sz w:val="20"/>
              </w:rPr>
              <w:t>20</w:t>
            </w:r>
          </w:p>
        </w:tc>
        <w:tc>
          <w:tcPr>
            <w:tcW w:w="266" w:type="pct"/>
            <w:noWrap w:val="0"/>
            <w:vAlign w:val="center"/>
          </w:tcPr>
          <w:p w14:paraId="23B4E902">
            <w:pPr>
              <w:pStyle w:val="37"/>
              <w:keepNext w:val="0"/>
              <w:keepLines w:val="0"/>
              <w:pageBreakBefore w:val="0"/>
              <w:wordWrap/>
              <w:overflowPunct/>
              <w:topLinePunct w:val="0"/>
              <w:bidi w:val="0"/>
              <w:spacing w:before="53" w:line="440" w:lineRule="exact"/>
              <w:ind w:left="38"/>
              <w:jc w:val="center"/>
              <w:rPr>
                <w:rFonts w:hint="eastAsia" w:ascii="宋体" w:hAnsi="宋体" w:eastAsia="宋体" w:cs="宋体"/>
                <w:sz w:val="20"/>
              </w:rPr>
            </w:pPr>
            <w:r>
              <w:rPr>
                <w:rFonts w:hint="eastAsia" w:ascii="宋体" w:hAnsi="宋体" w:eastAsia="宋体" w:cs="宋体"/>
                <w:w w:val="99"/>
                <w:sz w:val="20"/>
              </w:rPr>
              <w:t>5</w:t>
            </w:r>
          </w:p>
        </w:tc>
        <w:tc>
          <w:tcPr>
            <w:tcW w:w="276" w:type="pct"/>
            <w:noWrap w:val="0"/>
            <w:vAlign w:val="center"/>
          </w:tcPr>
          <w:p w14:paraId="2C3C3736">
            <w:pPr>
              <w:pStyle w:val="37"/>
              <w:keepNext w:val="0"/>
              <w:keepLines w:val="0"/>
              <w:pageBreakBefore w:val="0"/>
              <w:wordWrap/>
              <w:overflowPunct/>
              <w:topLinePunct w:val="0"/>
              <w:bidi w:val="0"/>
              <w:spacing w:line="440" w:lineRule="exact"/>
              <w:rPr>
                <w:rFonts w:hint="eastAsia" w:ascii="宋体" w:hAnsi="宋体" w:eastAsia="宋体" w:cs="宋体"/>
                <w:sz w:val="20"/>
              </w:rPr>
            </w:pPr>
          </w:p>
        </w:tc>
        <w:tc>
          <w:tcPr>
            <w:tcW w:w="385" w:type="pct"/>
            <w:vMerge w:val="restart"/>
            <w:noWrap w:val="0"/>
            <w:vAlign w:val="center"/>
          </w:tcPr>
          <w:p w14:paraId="71206BEB">
            <w:pPr>
              <w:pStyle w:val="37"/>
              <w:keepNext w:val="0"/>
              <w:keepLines w:val="0"/>
              <w:pageBreakBefore w:val="0"/>
              <w:wordWrap/>
              <w:overflowPunct/>
              <w:topLinePunct w:val="0"/>
              <w:bidi w:val="0"/>
              <w:spacing w:line="440" w:lineRule="exact"/>
              <w:ind w:left="293"/>
              <w:rPr>
                <w:rFonts w:hint="eastAsia" w:ascii="宋体" w:hAnsi="宋体" w:eastAsia="宋体" w:cs="宋体"/>
                <w:sz w:val="20"/>
              </w:rPr>
            </w:pPr>
            <w:r>
              <w:rPr>
                <w:rFonts w:hint="eastAsia" w:ascii="宋体" w:hAnsi="宋体" w:eastAsia="宋体" w:cs="宋体"/>
                <w:sz w:val="20"/>
              </w:rPr>
              <w:t>45</w:t>
            </w:r>
          </w:p>
        </w:tc>
      </w:tr>
      <w:tr w14:paraId="25F7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95" w:type="pct"/>
            <w:vMerge w:val="continue"/>
            <w:noWrap w:val="0"/>
            <w:vAlign w:val="center"/>
          </w:tcPr>
          <w:p w14:paraId="4E39F3B0">
            <w:pPr>
              <w:keepNext w:val="0"/>
              <w:keepLines w:val="0"/>
              <w:pageBreakBefore w:val="0"/>
              <w:wordWrap/>
              <w:overflowPunct/>
              <w:topLinePunct w:val="0"/>
              <w:bidi w:val="0"/>
              <w:spacing w:line="440" w:lineRule="exact"/>
              <w:rPr>
                <w:rFonts w:hint="eastAsia" w:ascii="宋体" w:hAnsi="宋体" w:eastAsia="宋体" w:cs="宋体"/>
                <w:sz w:val="2"/>
                <w:szCs w:val="2"/>
              </w:rPr>
            </w:pPr>
          </w:p>
        </w:tc>
        <w:tc>
          <w:tcPr>
            <w:tcW w:w="236" w:type="pct"/>
            <w:noWrap w:val="0"/>
            <w:vAlign w:val="center"/>
          </w:tcPr>
          <w:p w14:paraId="62D62835">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rPr>
              <w:t>2</w:t>
            </w:r>
          </w:p>
        </w:tc>
        <w:tc>
          <w:tcPr>
            <w:tcW w:w="314" w:type="pct"/>
            <w:noWrap w:val="0"/>
            <w:vAlign w:val="center"/>
          </w:tcPr>
          <w:p w14:paraId="52D99CEB">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color w:val="000000"/>
                <w:sz w:val="20"/>
              </w:rPr>
            </w:pPr>
            <w:r>
              <w:rPr>
                <w:rFonts w:hint="eastAsia" w:ascii="宋体" w:hAnsi="宋体" w:eastAsia="宋体" w:cs="宋体"/>
                <w:color w:val="000000"/>
                <w:sz w:val="20"/>
              </w:rPr>
              <w:t>0</w:t>
            </w:r>
          </w:p>
        </w:tc>
        <w:tc>
          <w:tcPr>
            <w:tcW w:w="576" w:type="pct"/>
            <w:noWrap w:val="0"/>
            <w:vAlign w:val="center"/>
          </w:tcPr>
          <w:p w14:paraId="40A74532">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color w:val="000000"/>
                <w:sz w:val="20"/>
              </w:rPr>
            </w:pPr>
          </w:p>
        </w:tc>
        <w:tc>
          <w:tcPr>
            <w:tcW w:w="396" w:type="pct"/>
            <w:noWrap w:val="0"/>
            <w:vAlign w:val="center"/>
          </w:tcPr>
          <w:p w14:paraId="3DAFA7CF">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545" w:type="pct"/>
            <w:noWrap w:val="0"/>
            <w:vAlign w:val="center"/>
          </w:tcPr>
          <w:p w14:paraId="1FCF9D13">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880" w:type="pct"/>
            <w:noWrap w:val="0"/>
            <w:vAlign w:val="center"/>
          </w:tcPr>
          <w:p w14:paraId="64D3CE13">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rPr>
              <w:t>20</w:t>
            </w:r>
          </w:p>
        </w:tc>
        <w:tc>
          <w:tcPr>
            <w:tcW w:w="236" w:type="pct"/>
            <w:noWrap w:val="0"/>
            <w:vAlign w:val="center"/>
          </w:tcPr>
          <w:p w14:paraId="154B1A27">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293" w:type="pct"/>
            <w:noWrap w:val="0"/>
            <w:vAlign w:val="center"/>
          </w:tcPr>
          <w:p w14:paraId="14D13D29">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295" w:type="pct"/>
            <w:noWrap w:val="0"/>
            <w:vAlign w:val="center"/>
          </w:tcPr>
          <w:p w14:paraId="037DAC58">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rPr>
              <w:t>20</w:t>
            </w:r>
          </w:p>
        </w:tc>
        <w:tc>
          <w:tcPr>
            <w:tcW w:w="266" w:type="pct"/>
            <w:noWrap w:val="0"/>
            <w:vAlign w:val="center"/>
          </w:tcPr>
          <w:p w14:paraId="27D1D05C">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276" w:type="pct"/>
            <w:noWrap w:val="0"/>
            <w:vAlign w:val="center"/>
          </w:tcPr>
          <w:p w14:paraId="46CAF8D7">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385" w:type="pct"/>
            <w:vMerge w:val="continue"/>
            <w:noWrap w:val="0"/>
            <w:vAlign w:val="center"/>
          </w:tcPr>
          <w:p w14:paraId="76034284">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r>
      <w:tr w14:paraId="3026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531" w:type="pct"/>
            <w:gridSpan w:val="2"/>
            <w:noWrap w:val="0"/>
            <w:vAlign w:val="center"/>
          </w:tcPr>
          <w:p w14:paraId="2AE7A761">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rPr>
              <w:t>总 计</w:t>
            </w:r>
          </w:p>
        </w:tc>
        <w:tc>
          <w:tcPr>
            <w:tcW w:w="314" w:type="pct"/>
            <w:noWrap w:val="0"/>
            <w:vAlign w:val="center"/>
          </w:tcPr>
          <w:p w14:paraId="4EE67FE1">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color w:val="000000"/>
                <w:sz w:val="20"/>
                <w:lang w:val="en-US" w:eastAsia="zh-CN"/>
              </w:rPr>
            </w:pPr>
            <w:r>
              <w:rPr>
                <w:rFonts w:hint="eastAsia" w:ascii="宋体" w:hAnsi="宋体" w:eastAsia="宋体" w:cs="宋体"/>
                <w:color w:val="000000"/>
                <w:sz w:val="20"/>
                <w:lang w:val="en-US" w:eastAsia="zh-CN"/>
              </w:rPr>
              <w:t>86</w:t>
            </w:r>
          </w:p>
        </w:tc>
        <w:tc>
          <w:tcPr>
            <w:tcW w:w="576" w:type="pct"/>
            <w:noWrap w:val="0"/>
            <w:vAlign w:val="center"/>
          </w:tcPr>
          <w:p w14:paraId="7C2E5034">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color w:val="000000"/>
                <w:sz w:val="20"/>
                <w:lang w:val="en-US" w:eastAsia="zh-CN"/>
              </w:rPr>
            </w:pPr>
            <w:r>
              <w:rPr>
                <w:rFonts w:hint="eastAsia" w:ascii="宋体" w:hAnsi="宋体" w:eastAsia="宋体" w:cs="宋体"/>
                <w:color w:val="000000"/>
                <w:sz w:val="20"/>
                <w:lang w:val="en-US" w:eastAsia="zh-CN"/>
              </w:rPr>
              <w:t>4</w:t>
            </w:r>
          </w:p>
        </w:tc>
        <w:tc>
          <w:tcPr>
            <w:tcW w:w="396" w:type="pct"/>
            <w:noWrap w:val="0"/>
            <w:vAlign w:val="center"/>
          </w:tcPr>
          <w:p w14:paraId="11884F21">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545" w:type="pct"/>
            <w:noWrap w:val="0"/>
            <w:vAlign w:val="center"/>
          </w:tcPr>
          <w:p w14:paraId="4E3C63C8">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p>
        </w:tc>
        <w:tc>
          <w:tcPr>
            <w:tcW w:w="880" w:type="pct"/>
            <w:noWrap w:val="0"/>
            <w:vAlign w:val="center"/>
          </w:tcPr>
          <w:p w14:paraId="11DB6346">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lang w:val="en-US" w:eastAsia="zh-CN"/>
              </w:rPr>
              <w:t>2</w:t>
            </w:r>
            <w:r>
              <w:rPr>
                <w:rFonts w:hint="eastAsia" w:ascii="宋体" w:hAnsi="宋体" w:eastAsia="宋体" w:cs="宋体"/>
                <w:sz w:val="20"/>
              </w:rPr>
              <w:t>0</w:t>
            </w:r>
          </w:p>
        </w:tc>
        <w:tc>
          <w:tcPr>
            <w:tcW w:w="236" w:type="pct"/>
            <w:noWrap w:val="0"/>
            <w:vAlign w:val="center"/>
          </w:tcPr>
          <w:p w14:paraId="0A5896B7">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lang w:eastAsia="zh-CN"/>
              </w:rPr>
            </w:pPr>
            <w:r>
              <w:rPr>
                <w:rFonts w:hint="eastAsia" w:ascii="宋体" w:hAnsi="宋体" w:eastAsia="宋体" w:cs="宋体"/>
                <w:sz w:val="20"/>
                <w:lang w:val="en-US" w:eastAsia="zh-CN"/>
              </w:rPr>
              <w:t>5</w:t>
            </w:r>
          </w:p>
        </w:tc>
        <w:tc>
          <w:tcPr>
            <w:tcW w:w="293" w:type="pct"/>
            <w:noWrap w:val="0"/>
            <w:vAlign w:val="center"/>
          </w:tcPr>
          <w:p w14:paraId="6137E122">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rPr>
              <w:t>3</w:t>
            </w:r>
          </w:p>
        </w:tc>
        <w:tc>
          <w:tcPr>
            <w:tcW w:w="295" w:type="pct"/>
            <w:noWrap w:val="0"/>
            <w:vAlign w:val="center"/>
          </w:tcPr>
          <w:p w14:paraId="36B81D0E">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rPr>
              <w:t>118</w:t>
            </w:r>
          </w:p>
        </w:tc>
        <w:tc>
          <w:tcPr>
            <w:tcW w:w="266" w:type="pct"/>
            <w:noWrap w:val="0"/>
            <w:vAlign w:val="center"/>
          </w:tcPr>
          <w:p w14:paraId="5A0EF7EA">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rPr>
              <w:t>15</w:t>
            </w:r>
          </w:p>
        </w:tc>
        <w:tc>
          <w:tcPr>
            <w:tcW w:w="276" w:type="pct"/>
            <w:noWrap w:val="0"/>
            <w:vAlign w:val="center"/>
          </w:tcPr>
          <w:p w14:paraId="3E3C0064">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rPr>
              <w:t>14</w:t>
            </w:r>
          </w:p>
        </w:tc>
        <w:tc>
          <w:tcPr>
            <w:tcW w:w="385" w:type="pct"/>
            <w:noWrap w:val="0"/>
            <w:vAlign w:val="center"/>
          </w:tcPr>
          <w:p w14:paraId="6DC1D3CB">
            <w:pPr>
              <w:pStyle w:val="37"/>
              <w:keepNext w:val="0"/>
              <w:keepLines w:val="0"/>
              <w:pageBreakBefore w:val="0"/>
              <w:wordWrap/>
              <w:overflowPunct/>
              <w:topLinePunct w:val="0"/>
              <w:bidi w:val="0"/>
              <w:spacing w:before="53" w:line="440" w:lineRule="exact"/>
              <w:ind w:left="26"/>
              <w:jc w:val="center"/>
              <w:rPr>
                <w:rFonts w:hint="eastAsia" w:ascii="宋体" w:hAnsi="宋体" w:eastAsia="宋体" w:cs="宋体"/>
                <w:sz w:val="20"/>
              </w:rPr>
            </w:pPr>
            <w:r>
              <w:rPr>
                <w:rFonts w:hint="eastAsia" w:ascii="宋体" w:hAnsi="宋体" w:eastAsia="宋体" w:cs="宋体"/>
                <w:sz w:val="20"/>
              </w:rPr>
              <w:t>147</w:t>
            </w:r>
          </w:p>
        </w:tc>
      </w:tr>
      <w:tr w14:paraId="14EF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531" w:type="pct"/>
            <w:gridSpan w:val="2"/>
            <w:noWrap w:val="0"/>
            <w:vAlign w:val="center"/>
          </w:tcPr>
          <w:p w14:paraId="1F441BF4">
            <w:pPr>
              <w:pStyle w:val="37"/>
              <w:keepNext w:val="0"/>
              <w:keepLines w:val="0"/>
              <w:pageBreakBefore w:val="0"/>
              <w:wordWrap/>
              <w:overflowPunct/>
              <w:topLinePunct w:val="0"/>
              <w:bidi w:val="0"/>
              <w:spacing w:line="440" w:lineRule="exact"/>
              <w:jc w:val="center"/>
              <w:rPr>
                <w:rFonts w:hint="eastAsia" w:ascii="宋体" w:hAnsi="宋体" w:eastAsia="宋体" w:cs="宋体"/>
                <w:sz w:val="24"/>
              </w:rPr>
            </w:pPr>
            <w:r>
              <w:rPr>
                <w:rFonts w:hint="eastAsia" w:ascii="宋体" w:hAnsi="宋体" w:eastAsia="宋体" w:cs="宋体"/>
                <w:sz w:val="24"/>
              </w:rPr>
              <w:t>说明</w:t>
            </w:r>
          </w:p>
        </w:tc>
        <w:tc>
          <w:tcPr>
            <w:tcW w:w="4468" w:type="pct"/>
            <w:gridSpan w:val="11"/>
            <w:noWrap w:val="0"/>
            <w:vAlign w:val="top"/>
          </w:tcPr>
          <w:p w14:paraId="3013521B">
            <w:pPr>
              <w:pStyle w:val="37"/>
              <w:keepNext w:val="0"/>
              <w:keepLines w:val="0"/>
              <w:pageBreakBefore w:val="0"/>
              <w:widowControl w:val="0"/>
              <w:tabs>
                <w:tab w:val="left" w:pos="422"/>
              </w:tabs>
              <w:kinsoku/>
              <w:wordWrap/>
              <w:overflowPunct/>
              <w:topLinePunct w:val="0"/>
              <w:autoSpaceDE w:val="0"/>
              <w:autoSpaceDN w:val="0"/>
              <w:bidi w:val="0"/>
              <w:adjustRightInd/>
              <w:snapToGrid/>
              <w:spacing w:line="440" w:lineRule="exact"/>
              <w:ind w:left="105" w:leftChars="50"/>
              <w:jc w:val="left"/>
              <w:textAlignment w:val="auto"/>
              <w:rPr>
                <w:rFonts w:hint="eastAsia" w:ascii="宋体" w:hAnsi="宋体" w:eastAsia="宋体" w:cs="宋体"/>
                <w:sz w:val="18"/>
                <w:szCs w:val="18"/>
              </w:rPr>
            </w:pPr>
            <w:r>
              <w:rPr>
                <w:rFonts w:hint="eastAsia" w:ascii="宋体" w:hAnsi="宋体" w:eastAsia="宋体" w:cs="宋体"/>
                <w:sz w:val="18"/>
                <w:szCs w:val="18"/>
              </w:rPr>
              <w:t>1.表中数字单位为周；</w:t>
            </w:r>
          </w:p>
          <w:p w14:paraId="5886A942">
            <w:pPr>
              <w:pStyle w:val="37"/>
              <w:keepNext w:val="0"/>
              <w:keepLines w:val="0"/>
              <w:pageBreakBefore w:val="0"/>
              <w:widowControl w:val="0"/>
              <w:tabs>
                <w:tab w:val="left" w:pos="272"/>
              </w:tabs>
              <w:kinsoku/>
              <w:wordWrap/>
              <w:overflowPunct/>
              <w:topLinePunct w:val="0"/>
              <w:autoSpaceDE w:val="0"/>
              <w:autoSpaceDN w:val="0"/>
              <w:bidi w:val="0"/>
              <w:adjustRightInd/>
              <w:snapToGrid/>
              <w:spacing w:line="440" w:lineRule="exact"/>
              <w:ind w:left="105" w:leftChars="50"/>
              <w:jc w:val="left"/>
              <w:textAlignment w:val="auto"/>
              <w:rPr>
                <w:rFonts w:hint="eastAsia" w:ascii="宋体" w:hAnsi="宋体" w:eastAsia="宋体" w:cs="宋体"/>
                <w:sz w:val="18"/>
                <w:szCs w:val="18"/>
              </w:rPr>
            </w:pPr>
            <w:r>
              <w:rPr>
                <w:rFonts w:hint="eastAsia" w:ascii="宋体" w:hAnsi="宋体" w:eastAsia="宋体" w:cs="宋体"/>
                <w:sz w:val="18"/>
                <w:szCs w:val="18"/>
              </w:rPr>
              <w:t>2.“课内教学”是指以节为单位，在教室、实验室以及理实一体化教室等场所的教学活动；</w:t>
            </w:r>
          </w:p>
          <w:p w14:paraId="66E12DE5">
            <w:pPr>
              <w:pStyle w:val="37"/>
              <w:keepNext w:val="0"/>
              <w:keepLines w:val="0"/>
              <w:pageBreakBefore w:val="0"/>
              <w:widowControl w:val="0"/>
              <w:tabs>
                <w:tab w:val="left" w:pos="272"/>
              </w:tabs>
              <w:kinsoku/>
              <w:wordWrap/>
              <w:overflowPunct/>
              <w:topLinePunct w:val="0"/>
              <w:autoSpaceDE w:val="0"/>
              <w:autoSpaceDN w:val="0"/>
              <w:bidi w:val="0"/>
              <w:adjustRightInd/>
              <w:snapToGrid/>
              <w:spacing w:line="440" w:lineRule="exact"/>
              <w:ind w:left="105" w:leftChars="50"/>
              <w:jc w:val="left"/>
              <w:textAlignment w:val="auto"/>
              <w:rPr>
                <w:rFonts w:hint="eastAsia" w:ascii="宋体" w:hAnsi="宋体" w:eastAsia="宋体" w:cs="宋体"/>
                <w:sz w:val="24"/>
              </w:rPr>
            </w:pPr>
            <w:r>
              <w:rPr>
                <w:rFonts w:hint="eastAsia" w:ascii="宋体" w:hAnsi="宋体" w:eastAsia="宋体" w:cs="宋体"/>
                <w:sz w:val="18"/>
                <w:szCs w:val="18"/>
              </w:rPr>
              <w:t>3.“专业实践教学”</w:t>
            </w:r>
            <w:r>
              <w:rPr>
                <w:rFonts w:hint="eastAsia" w:ascii="宋体" w:hAnsi="宋体" w:eastAsia="宋体" w:cs="宋体"/>
                <w:spacing w:val="-1"/>
                <w:sz w:val="18"/>
                <w:szCs w:val="18"/>
              </w:rPr>
              <w:t>主要指实习、实训、课程设计、专业认知实习、轮岗实习等以整周的方</w:t>
            </w:r>
            <w:r>
              <w:rPr>
                <w:rFonts w:hint="eastAsia" w:ascii="宋体" w:hAnsi="宋体" w:eastAsia="宋体" w:cs="宋体"/>
                <w:sz w:val="18"/>
                <w:szCs w:val="18"/>
              </w:rPr>
              <w:t>式安排的教学活动。</w:t>
            </w:r>
          </w:p>
        </w:tc>
      </w:tr>
    </w:tbl>
    <w:p w14:paraId="39A2FB77">
      <w:pPr>
        <w:pStyle w:val="3"/>
        <w:bidi w:val="0"/>
        <w:rPr>
          <w:rFonts w:hint="eastAsia"/>
          <w:sz w:val="24"/>
          <w:szCs w:val="24"/>
          <w:lang w:val="zh-CN" w:eastAsia="zh-CN"/>
        </w:rPr>
      </w:pPr>
      <w:bookmarkStart w:id="38" w:name="_Toc27032"/>
      <w:bookmarkStart w:id="39" w:name="_Toc1701758675"/>
      <w:bookmarkStart w:id="40" w:name="_Toc21574"/>
      <w:bookmarkStart w:id="41" w:name="_Toc113290238"/>
      <w:r>
        <w:rPr>
          <w:rFonts w:hint="eastAsia"/>
          <w:sz w:val="24"/>
          <w:szCs w:val="24"/>
          <w:lang w:val="zh-CN" w:eastAsia="zh-CN"/>
        </w:rPr>
        <w:t>（二）各类课程学时分配表</w:t>
      </w:r>
      <w:bookmarkEnd w:id="38"/>
      <w:bookmarkEnd w:id="39"/>
      <w:bookmarkEnd w:id="40"/>
      <w:bookmarkEnd w:id="41"/>
    </w:p>
    <w:tbl>
      <w:tblPr>
        <w:tblStyle w:val="15"/>
        <w:tblW w:w="9720" w:type="dxa"/>
        <w:jc w:val="center"/>
        <w:tblLayout w:type="autofit"/>
        <w:tblCellMar>
          <w:top w:w="0" w:type="dxa"/>
          <w:left w:w="0" w:type="dxa"/>
          <w:bottom w:w="0" w:type="dxa"/>
          <w:right w:w="0" w:type="dxa"/>
        </w:tblCellMar>
      </w:tblPr>
      <w:tblGrid>
        <w:gridCol w:w="2160"/>
        <w:gridCol w:w="1080"/>
        <w:gridCol w:w="1080"/>
        <w:gridCol w:w="1080"/>
        <w:gridCol w:w="1080"/>
        <w:gridCol w:w="1080"/>
        <w:gridCol w:w="1080"/>
        <w:gridCol w:w="1080"/>
      </w:tblGrid>
      <w:tr w14:paraId="22620C87">
        <w:tblPrEx>
          <w:tblCellMar>
            <w:top w:w="0" w:type="dxa"/>
            <w:left w:w="0" w:type="dxa"/>
            <w:bottom w:w="0" w:type="dxa"/>
            <w:right w:w="0" w:type="dxa"/>
          </w:tblCellMar>
        </w:tblPrEx>
        <w:trPr>
          <w:trHeight w:val="285" w:hRule="atLeast"/>
          <w:jc w:val="center"/>
        </w:trPr>
        <w:tc>
          <w:tcPr>
            <w:tcW w:w="2160" w:type="dxa"/>
            <w:vMerge w:val="restart"/>
            <w:tcBorders>
              <w:top w:val="single" w:color="auto" w:sz="8" w:space="0"/>
              <w:left w:val="single" w:color="auto" w:sz="8" w:space="0"/>
              <w:right w:val="single" w:color="auto" w:sz="8" w:space="0"/>
            </w:tcBorders>
            <w:noWrap w:val="0"/>
            <w:vAlign w:val="center"/>
          </w:tcPr>
          <w:p w14:paraId="24D18961">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bookmarkStart w:id="42" w:name="_Toc10954"/>
            <w:bookmarkStart w:id="43" w:name="_Toc113290239"/>
            <w:bookmarkStart w:id="44" w:name="_Toc28373"/>
            <w:r>
              <w:rPr>
                <w:rFonts w:hint="eastAsia" w:ascii="宋体" w:hAnsi="宋体" w:eastAsia="宋体" w:cs="宋体"/>
                <w:b/>
                <w:bCs/>
                <w:color w:val="000000"/>
                <w:kern w:val="0"/>
                <w:sz w:val="18"/>
                <w:szCs w:val="18"/>
              </w:rPr>
              <w:t>课程模块</w:t>
            </w:r>
          </w:p>
        </w:tc>
        <w:tc>
          <w:tcPr>
            <w:tcW w:w="1080" w:type="dxa"/>
            <w:vMerge w:val="restart"/>
            <w:tcBorders>
              <w:top w:val="single" w:color="auto" w:sz="8" w:space="0"/>
              <w:left w:val="single" w:color="auto" w:sz="8" w:space="0"/>
              <w:bottom w:val="single" w:color="000000" w:sz="8" w:space="0"/>
              <w:right w:val="single" w:color="auto" w:sz="8" w:space="0"/>
            </w:tcBorders>
            <w:noWrap w:val="0"/>
            <w:vAlign w:val="center"/>
          </w:tcPr>
          <w:p w14:paraId="3BC1AA6D">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课程门数</w:t>
            </w:r>
          </w:p>
        </w:tc>
        <w:tc>
          <w:tcPr>
            <w:tcW w:w="1080" w:type="dxa"/>
            <w:vMerge w:val="restart"/>
            <w:tcBorders>
              <w:top w:val="single" w:color="auto" w:sz="8" w:space="0"/>
              <w:left w:val="single" w:color="auto" w:sz="8" w:space="0"/>
              <w:bottom w:val="single" w:color="000000" w:sz="8" w:space="0"/>
              <w:right w:val="single" w:color="auto" w:sz="8" w:space="0"/>
            </w:tcBorders>
            <w:noWrap w:val="0"/>
            <w:vAlign w:val="center"/>
          </w:tcPr>
          <w:p w14:paraId="74874973">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学分</w:t>
            </w:r>
          </w:p>
        </w:tc>
        <w:tc>
          <w:tcPr>
            <w:tcW w:w="1080" w:type="dxa"/>
            <w:vMerge w:val="restart"/>
            <w:tcBorders>
              <w:top w:val="single" w:color="auto" w:sz="8" w:space="0"/>
              <w:left w:val="single" w:color="auto" w:sz="8" w:space="0"/>
              <w:bottom w:val="single" w:color="000000" w:sz="8" w:space="0"/>
              <w:right w:val="single" w:color="auto" w:sz="8" w:space="0"/>
            </w:tcBorders>
            <w:noWrap w:val="0"/>
            <w:vAlign w:val="center"/>
          </w:tcPr>
          <w:p w14:paraId="5561AF57">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学时</w:t>
            </w:r>
          </w:p>
        </w:tc>
        <w:tc>
          <w:tcPr>
            <w:tcW w:w="4320" w:type="dxa"/>
            <w:gridSpan w:val="4"/>
            <w:tcBorders>
              <w:top w:val="single" w:color="auto" w:sz="8" w:space="0"/>
              <w:left w:val="nil"/>
              <w:bottom w:val="single" w:color="auto" w:sz="8" w:space="0"/>
              <w:right w:val="single" w:color="000000" w:sz="8" w:space="0"/>
            </w:tcBorders>
            <w:noWrap w:val="0"/>
            <w:vAlign w:val="center"/>
          </w:tcPr>
          <w:p w14:paraId="24D68145">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学时分配</w:t>
            </w:r>
          </w:p>
        </w:tc>
      </w:tr>
      <w:tr w14:paraId="5218919C">
        <w:tblPrEx>
          <w:tblCellMar>
            <w:top w:w="0" w:type="dxa"/>
            <w:left w:w="0" w:type="dxa"/>
            <w:bottom w:w="0" w:type="dxa"/>
            <w:right w:w="0" w:type="dxa"/>
          </w:tblCellMar>
        </w:tblPrEx>
        <w:trPr>
          <w:trHeight w:val="504" w:hRule="atLeast"/>
          <w:jc w:val="center"/>
        </w:trPr>
        <w:tc>
          <w:tcPr>
            <w:tcW w:w="2160" w:type="dxa"/>
            <w:vMerge w:val="continue"/>
            <w:tcBorders>
              <w:left w:val="single" w:color="auto" w:sz="8" w:space="0"/>
              <w:bottom w:val="single" w:color="000000" w:sz="8" w:space="0"/>
              <w:right w:val="single" w:color="auto" w:sz="8" w:space="0"/>
            </w:tcBorders>
            <w:noWrap w:val="0"/>
            <w:vAlign w:val="center"/>
          </w:tcPr>
          <w:p w14:paraId="1D5ED67A">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p>
        </w:tc>
        <w:tc>
          <w:tcPr>
            <w:tcW w:w="1080" w:type="dxa"/>
            <w:vMerge w:val="continue"/>
            <w:tcBorders>
              <w:top w:val="single" w:color="auto" w:sz="8" w:space="0"/>
              <w:left w:val="single" w:color="auto" w:sz="8" w:space="0"/>
              <w:bottom w:val="single" w:color="000000" w:sz="8" w:space="0"/>
              <w:right w:val="single" w:color="auto" w:sz="8" w:space="0"/>
            </w:tcBorders>
            <w:noWrap w:val="0"/>
            <w:vAlign w:val="center"/>
          </w:tcPr>
          <w:p w14:paraId="6670AEA0">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p>
        </w:tc>
        <w:tc>
          <w:tcPr>
            <w:tcW w:w="1080" w:type="dxa"/>
            <w:vMerge w:val="continue"/>
            <w:tcBorders>
              <w:top w:val="single" w:color="auto" w:sz="8" w:space="0"/>
              <w:left w:val="single" w:color="auto" w:sz="8" w:space="0"/>
              <w:bottom w:val="single" w:color="000000" w:sz="8" w:space="0"/>
              <w:right w:val="single" w:color="auto" w:sz="8" w:space="0"/>
            </w:tcBorders>
            <w:noWrap w:val="0"/>
            <w:vAlign w:val="center"/>
          </w:tcPr>
          <w:p w14:paraId="228BF44C">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p>
        </w:tc>
        <w:tc>
          <w:tcPr>
            <w:tcW w:w="1080" w:type="dxa"/>
            <w:vMerge w:val="continue"/>
            <w:tcBorders>
              <w:top w:val="single" w:color="auto" w:sz="8" w:space="0"/>
              <w:left w:val="single" w:color="auto" w:sz="8" w:space="0"/>
              <w:bottom w:val="single" w:color="000000" w:sz="8" w:space="0"/>
              <w:right w:val="single" w:color="auto" w:sz="8" w:space="0"/>
            </w:tcBorders>
            <w:noWrap w:val="0"/>
            <w:vAlign w:val="center"/>
          </w:tcPr>
          <w:p w14:paraId="0BA98CD1">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p>
        </w:tc>
        <w:tc>
          <w:tcPr>
            <w:tcW w:w="1080" w:type="dxa"/>
            <w:tcBorders>
              <w:top w:val="nil"/>
              <w:left w:val="nil"/>
              <w:bottom w:val="single" w:color="auto" w:sz="8" w:space="0"/>
              <w:right w:val="single" w:color="auto" w:sz="8" w:space="0"/>
            </w:tcBorders>
            <w:noWrap w:val="0"/>
            <w:vAlign w:val="center"/>
          </w:tcPr>
          <w:p w14:paraId="5385259F">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理论学时</w:t>
            </w:r>
          </w:p>
        </w:tc>
        <w:tc>
          <w:tcPr>
            <w:tcW w:w="1080" w:type="dxa"/>
            <w:tcBorders>
              <w:top w:val="nil"/>
              <w:left w:val="nil"/>
              <w:bottom w:val="single" w:color="auto" w:sz="8" w:space="0"/>
              <w:right w:val="single" w:color="auto" w:sz="8" w:space="0"/>
            </w:tcBorders>
            <w:noWrap w:val="0"/>
            <w:vAlign w:val="center"/>
          </w:tcPr>
          <w:p w14:paraId="5D030C52">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比例</w:t>
            </w:r>
          </w:p>
        </w:tc>
        <w:tc>
          <w:tcPr>
            <w:tcW w:w="1080" w:type="dxa"/>
            <w:tcBorders>
              <w:top w:val="nil"/>
              <w:left w:val="nil"/>
              <w:bottom w:val="single" w:color="auto" w:sz="8" w:space="0"/>
              <w:right w:val="single" w:color="auto" w:sz="8" w:space="0"/>
            </w:tcBorders>
            <w:noWrap w:val="0"/>
            <w:vAlign w:val="center"/>
          </w:tcPr>
          <w:p w14:paraId="7C899620">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实验实践学时</w:t>
            </w:r>
          </w:p>
        </w:tc>
        <w:tc>
          <w:tcPr>
            <w:tcW w:w="1080" w:type="dxa"/>
            <w:tcBorders>
              <w:top w:val="nil"/>
              <w:left w:val="nil"/>
              <w:bottom w:val="single" w:color="auto" w:sz="8" w:space="0"/>
              <w:right w:val="single" w:color="auto" w:sz="8" w:space="0"/>
            </w:tcBorders>
            <w:noWrap w:val="0"/>
            <w:vAlign w:val="center"/>
          </w:tcPr>
          <w:p w14:paraId="1708A202">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比例</w:t>
            </w:r>
          </w:p>
        </w:tc>
      </w:tr>
      <w:tr w14:paraId="4822D2B4">
        <w:tblPrEx>
          <w:tblCellMar>
            <w:top w:w="0" w:type="dxa"/>
            <w:left w:w="0" w:type="dxa"/>
            <w:bottom w:w="0" w:type="dxa"/>
            <w:right w:w="0" w:type="dxa"/>
          </w:tblCellMar>
        </w:tblPrEx>
        <w:trPr>
          <w:trHeight w:val="399" w:hRule="atLeast"/>
          <w:jc w:val="center"/>
        </w:trPr>
        <w:tc>
          <w:tcPr>
            <w:tcW w:w="2160" w:type="dxa"/>
            <w:tcBorders>
              <w:top w:val="nil"/>
              <w:left w:val="single" w:color="auto" w:sz="8" w:space="0"/>
              <w:bottom w:val="single" w:color="000000" w:sz="8" w:space="0"/>
              <w:right w:val="single" w:color="auto" w:sz="8" w:space="0"/>
            </w:tcBorders>
            <w:noWrap w:val="0"/>
            <w:vAlign w:val="center"/>
          </w:tcPr>
          <w:p w14:paraId="5896382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公共基础课程</w:t>
            </w:r>
          </w:p>
        </w:tc>
        <w:tc>
          <w:tcPr>
            <w:tcW w:w="1080" w:type="dxa"/>
            <w:tcBorders>
              <w:top w:val="nil"/>
              <w:left w:val="nil"/>
              <w:bottom w:val="single" w:color="auto" w:sz="8" w:space="0"/>
              <w:right w:val="single" w:color="auto" w:sz="8" w:space="0"/>
            </w:tcBorders>
            <w:noWrap w:val="0"/>
            <w:vAlign w:val="center"/>
          </w:tcPr>
          <w:p w14:paraId="2BF88FFE">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17</w:t>
            </w:r>
          </w:p>
        </w:tc>
        <w:tc>
          <w:tcPr>
            <w:tcW w:w="1080" w:type="dxa"/>
            <w:tcBorders>
              <w:top w:val="nil"/>
              <w:left w:val="nil"/>
              <w:bottom w:val="single" w:color="auto" w:sz="8" w:space="0"/>
              <w:right w:val="single" w:color="auto" w:sz="8" w:space="0"/>
            </w:tcBorders>
            <w:noWrap w:val="0"/>
            <w:vAlign w:val="center"/>
          </w:tcPr>
          <w:p w14:paraId="07D8C89C">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57</w:t>
            </w:r>
          </w:p>
        </w:tc>
        <w:tc>
          <w:tcPr>
            <w:tcW w:w="1080" w:type="dxa"/>
            <w:tcBorders>
              <w:top w:val="nil"/>
              <w:left w:val="nil"/>
              <w:bottom w:val="single" w:color="auto" w:sz="8" w:space="0"/>
              <w:right w:val="single" w:color="auto" w:sz="8" w:space="0"/>
            </w:tcBorders>
            <w:noWrap w:val="0"/>
            <w:vAlign w:val="center"/>
          </w:tcPr>
          <w:p w14:paraId="6E5A53E4">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1</w:t>
            </w:r>
            <w:r>
              <w:rPr>
                <w:rFonts w:hint="eastAsia" w:ascii="宋体" w:hAnsi="宋体" w:eastAsia="宋体" w:cs="宋体"/>
                <w:color w:val="000000"/>
                <w:kern w:val="0"/>
                <w:sz w:val="18"/>
                <w:szCs w:val="18"/>
                <w:lang w:val="en-US" w:eastAsia="zh-CN"/>
              </w:rPr>
              <w:t>026</w:t>
            </w:r>
          </w:p>
        </w:tc>
        <w:tc>
          <w:tcPr>
            <w:tcW w:w="1080" w:type="dxa"/>
            <w:tcBorders>
              <w:top w:val="nil"/>
              <w:left w:val="nil"/>
              <w:bottom w:val="single" w:color="auto" w:sz="8" w:space="0"/>
              <w:right w:val="single" w:color="auto" w:sz="8" w:space="0"/>
            </w:tcBorders>
            <w:noWrap w:val="0"/>
            <w:vAlign w:val="center"/>
          </w:tcPr>
          <w:p w14:paraId="5C9F47F2">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7</w:t>
            </w:r>
            <w:r>
              <w:rPr>
                <w:rFonts w:hint="eastAsia" w:ascii="宋体" w:hAnsi="宋体" w:eastAsia="宋体" w:cs="宋体"/>
                <w:color w:val="000000"/>
                <w:kern w:val="0"/>
                <w:sz w:val="18"/>
                <w:szCs w:val="18"/>
                <w:lang w:val="en-US" w:eastAsia="zh-CN"/>
              </w:rPr>
              <w:t>74</w:t>
            </w:r>
          </w:p>
        </w:tc>
        <w:tc>
          <w:tcPr>
            <w:tcW w:w="1080" w:type="dxa"/>
            <w:tcBorders>
              <w:top w:val="nil"/>
              <w:left w:val="nil"/>
              <w:bottom w:val="single" w:color="auto" w:sz="8" w:space="0"/>
              <w:right w:val="single" w:color="auto" w:sz="8" w:space="0"/>
            </w:tcBorders>
            <w:noWrap w:val="0"/>
            <w:vAlign w:val="center"/>
          </w:tcPr>
          <w:p w14:paraId="0C9CF6F4">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75.4%</w:t>
            </w:r>
          </w:p>
        </w:tc>
        <w:tc>
          <w:tcPr>
            <w:tcW w:w="1080" w:type="dxa"/>
            <w:tcBorders>
              <w:top w:val="nil"/>
              <w:left w:val="nil"/>
              <w:bottom w:val="single" w:color="auto" w:sz="8" w:space="0"/>
              <w:right w:val="single" w:color="auto" w:sz="8" w:space="0"/>
            </w:tcBorders>
            <w:noWrap w:val="0"/>
            <w:vAlign w:val="center"/>
          </w:tcPr>
          <w:p w14:paraId="7E9E41EC">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252</w:t>
            </w:r>
          </w:p>
        </w:tc>
        <w:tc>
          <w:tcPr>
            <w:tcW w:w="1080" w:type="dxa"/>
            <w:tcBorders>
              <w:top w:val="nil"/>
              <w:left w:val="nil"/>
              <w:bottom w:val="single" w:color="auto" w:sz="8" w:space="0"/>
              <w:right w:val="single" w:color="auto" w:sz="8" w:space="0"/>
            </w:tcBorders>
            <w:noWrap w:val="0"/>
            <w:vAlign w:val="center"/>
          </w:tcPr>
          <w:p w14:paraId="3821A21C">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24.6%</w:t>
            </w:r>
          </w:p>
        </w:tc>
      </w:tr>
      <w:tr w14:paraId="18EF6A0E">
        <w:tblPrEx>
          <w:tblCellMar>
            <w:top w:w="0" w:type="dxa"/>
            <w:left w:w="0" w:type="dxa"/>
            <w:bottom w:w="0" w:type="dxa"/>
            <w:right w:w="0" w:type="dxa"/>
          </w:tblCellMar>
        </w:tblPrEx>
        <w:trPr>
          <w:trHeight w:val="282" w:hRule="atLeast"/>
          <w:jc w:val="center"/>
        </w:trPr>
        <w:tc>
          <w:tcPr>
            <w:tcW w:w="2160" w:type="dxa"/>
            <w:tcBorders>
              <w:top w:val="nil"/>
              <w:left w:val="single" w:color="auto" w:sz="8" w:space="0"/>
              <w:bottom w:val="single" w:color="000000" w:sz="8" w:space="0"/>
              <w:right w:val="single" w:color="auto" w:sz="8" w:space="0"/>
            </w:tcBorders>
            <w:noWrap w:val="0"/>
            <w:vAlign w:val="center"/>
          </w:tcPr>
          <w:p w14:paraId="2F1399B6">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专业课程</w:t>
            </w:r>
          </w:p>
        </w:tc>
        <w:tc>
          <w:tcPr>
            <w:tcW w:w="1080" w:type="dxa"/>
            <w:tcBorders>
              <w:top w:val="nil"/>
              <w:left w:val="nil"/>
              <w:bottom w:val="single" w:color="auto" w:sz="8" w:space="0"/>
              <w:right w:val="single" w:color="auto" w:sz="8" w:space="0"/>
            </w:tcBorders>
            <w:noWrap w:val="0"/>
            <w:vAlign w:val="center"/>
          </w:tcPr>
          <w:p w14:paraId="2ACDAA26">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1</w:t>
            </w:r>
            <w:r>
              <w:rPr>
                <w:rFonts w:hint="eastAsia" w:ascii="宋体" w:hAnsi="宋体" w:eastAsia="宋体" w:cs="宋体"/>
                <w:color w:val="000000"/>
                <w:kern w:val="0"/>
                <w:sz w:val="18"/>
                <w:szCs w:val="18"/>
                <w:lang w:val="en-US" w:eastAsia="zh-CN"/>
              </w:rPr>
              <w:t>7</w:t>
            </w:r>
          </w:p>
        </w:tc>
        <w:tc>
          <w:tcPr>
            <w:tcW w:w="1080" w:type="dxa"/>
            <w:tcBorders>
              <w:top w:val="nil"/>
              <w:left w:val="nil"/>
              <w:bottom w:val="single" w:color="auto" w:sz="8" w:space="0"/>
              <w:right w:val="single" w:color="auto" w:sz="8" w:space="0"/>
            </w:tcBorders>
            <w:noWrap w:val="0"/>
            <w:vAlign w:val="center"/>
          </w:tcPr>
          <w:p w14:paraId="68E114EE">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84</w:t>
            </w:r>
          </w:p>
        </w:tc>
        <w:tc>
          <w:tcPr>
            <w:tcW w:w="1080" w:type="dxa"/>
            <w:tcBorders>
              <w:top w:val="nil"/>
              <w:left w:val="nil"/>
              <w:bottom w:val="single" w:color="auto" w:sz="8" w:space="0"/>
              <w:right w:val="single" w:color="auto" w:sz="8" w:space="0"/>
            </w:tcBorders>
            <w:noWrap w:val="0"/>
            <w:vAlign w:val="center"/>
          </w:tcPr>
          <w:p w14:paraId="21F84556">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1512</w:t>
            </w:r>
          </w:p>
        </w:tc>
        <w:tc>
          <w:tcPr>
            <w:tcW w:w="1080" w:type="dxa"/>
            <w:tcBorders>
              <w:top w:val="nil"/>
              <w:left w:val="nil"/>
              <w:bottom w:val="single" w:color="auto" w:sz="8" w:space="0"/>
              <w:right w:val="single" w:color="auto" w:sz="8" w:space="0"/>
            </w:tcBorders>
            <w:noWrap w:val="0"/>
            <w:vAlign w:val="center"/>
          </w:tcPr>
          <w:p w14:paraId="23C11452">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730</w:t>
            </w:r>
          </w:p>
        </w:tc>
        <w:tc>
          <w:tcPr>
            <w:tcW w:w="1080" w:type="dxa"/>
            <w:tcBorders>
              <w:top w:val="nil"/>
              <w:left w:val="nil"/>
              <w:bottom w:val="single" w:color="auto" w:sz="8" w:space="0"/>
              <w:right w:val="single" w:color="auto" w:sz="8" w:space="0"/>
            </w:tcBorders>
            <w:noWrap w:val="0"/>
            <w:vAlign w:val="center"/>
          </w:tcPr>
          <w:p w14:paraId="52FCD14B">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48.3%</w:t>
            </w:r>
          </w:p>
        </w:tc>
        <w:tc>
          <w:tcPr>
            <w:tcW w:w="1080" w:type="dxa"/>
            <w:tcBorders>
              <w:top w:val="nil"/>
              <w:left w:val="nil"/>
              <w:bottom w:val="single" w:color="auto" w:sz="8" w:space="0"/>
              <w:right w:val="single" w:color="auto" w:sz="8" w:space="0"/>
            </w:tcBorders>
            <w:noWrap w:val="0"/>
            <w:vAlign w:val="center"/>
          </w:tcPr>
          <w:p w14:paraId="6311011B">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782</w:t>
            </w:r>
          </w:p>
        </w:tc>
        <w:tc>
          <w:tcPr>
            <w:tcW w:w="1080" w:type="dxa"/>
            <w:tcBorders>
              <w:top w:val="nil"/>
              <w:left w:val="nil"/>
              <w:bottom w:val="single" w:color="auto" w:sz="8" w:space="0"/>
              <w:right w:val="single" w:color="auto" w:sz="8" w:space="0"/>
            </w:tcBorders>
            <w:noWrap w:val="0"/>
            <w:vAlign w:val="center"/>
          </w:tcPr>
          <w:p w14:paraId="18469128">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51.7%</w:t>
            </w:r>
          </w:p>
        </w:tc>
      </w:tr>
      <w:tr w14:paraId="2C7F44FE">
        <w:tblPrEx>
          <w:tblCellMar>
            <w:top w:w="0" w:type="dxa"/>
            <w:left w:w="0" w:type="dxa"/>
            <w:bottom w:w="0" w:type="dxa"/>
            <w:right w:w="0" w:type="dxa"/>
          </w:tblCellMar>
        </w:tblPrEx>
        <w:trPr>
          <w:trHeight w:val="297" w:hRule="atLeast"/>
          <w:jc w:val="center"/>
        </w:trPr>
        <w:tc>
          <w:tcPr>
            <w:tcW w:w="2160" w:type="dxa"/>
            <w:tcBorders>
              <w:top w:val="single" w:color="auto" w:sz="8" w:space="0"/>
              <w:left w:val="single" w:color="auto" w:sz="8" w:space="0"/>
              <w:bottom w:val="single" w:color="auto" w:sz="8" w:space="0"/>
              <w:right w:val="single" w:color="000000" w:sz="8" w:space="0"/>
            </w:tcBorders>
            <w:noWrap w:val="0"/>
            <w:vAlign w:val="center"/>
          </w:tcPr>
          <w:p w14:paraId="4170BD06">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小计</w:t>
            </w:r>
          </w:p>
        </w:tc>
        <w:tc>
          <w:tcPr>
            <w:tcW w:w="1080" w:type="dxa"/>
            <w:tcBorders>
              <w:top w:val="nil"/>
              <w:left w:val="nil"/>
              <w:bottom w:val="single" w:color="auto" w:sz="8" w:space="0"/>
              <w:right w:val="single" w:color="auto" w:sz="8" w:space="0"/>
            </w:tcBorders>
            <w:noWrap w:val="0"/>
            <w:vAlign w:val="center"/>
          </w:tcPr>
          <w:p w14:paraId="101CB5D8">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34</w:t>
            </w:r>
          </w:p>
        </w:tc>
        <w:tc>
          <w:tcPr>
            <w:tcW w:w="1080" w:type="dxa"/>
            <w:tcBorders>
              <w:top w:val="nil"/>
              <w:left w:val="nil"/>
              <w:bottom w:val="single" w:color="auto" w:sz="8" w:space="0"/>
              <w:right w:val="single" w:color="auto" w:sz="8" w:space="0"/>
            </w:tcBorders>
            <w:noWrap w:val="0"/>
            <w:vAlign w:val="center"/>
          </w:tcPr>
          <w:p w14:paraId="38457317">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rPr>
              <w:t>1</w:t>
            </w:r>
            <w:r>
              <w:rPr>
                <w:rFonts w:hint="eastAsia" w:ascii="宋体" w:hAnsi="宋体" w:eastAsia="宋体" w:cs="宋体"/>
                <w:color w:val="000000"/>
                <w:kern w:val="0"/>
                <w:sz w:val="18"/>
                <w:szCs w:val="18"/>
                <w:lang w:val="en-US" w:eastAsia="zh-CN"/>
              </w:rPr>
              <w:t>41</w:t>
            </w:r>
          </w:p>
        </w:tc>
        <w:tc>
          <w:tcPr>
            <w:tcW w:w="1080" w:type="dxa"/>
            <w:tcBorders>
              <w:top w:val="nil"/>
              <w:left w:val="nil"/>
              <w:bottom w:val="single" w:color="auto" w:sz="8" w:space="0"/>
              <w:right w:val="single" w:color="auto" w:sz="8" w:space="0"/>
            </w:tcBorders>
            <w:noWrap w:val="0"/>
            <w:vAlign w:val="center"/>
          </w:tcPr>
          <w:p w14:paraId="271563C3">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2538</w:t>
            </w:r>
          </w:p>
        </w:tc>
        <w:tc>
          <w:tcPr>
            <w:tcW w:w="1080" w:type="dxa"/>
            <w:tcBorders>
              <w:top w:val="nil"/>
              <w:left w:val="nil"/>
              <w:bottom w:val="single" w:color="auto" w:sz="8" w:space="0"/>
              <w:right w:val="single" w:color="auto" w:sz="8" w:space="0"/>
            </w:tcBorders>
            <w:noWrap w:val="0"/>
            <w:vAlign w:val="center"/>
          </w:tcPr>
          <w:p w14:paraId="7417B96C">
            <w:pPr>
              <w:keepNext w:val="0"/>
              <w:keepLines w:val="0"/>
              <w:pageBreakBefore w:val="0"/>
              <w:widowControl/>
              <w:tabs>
                <w:tab w:val="left" w:pos="398"/>
              </w:tabs>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1504</w:t>
            </w:r>
          </w:p>
        </w:tc>
        <w:tc>
          <w:tcPr>
            <w:tcW w:w="1080" w:type="dxa"/>
            <w:tcBorders>
              <w:top w:val="nil"/>
              <w:left w:val="nil"/>
              <w:bottom w:val="single" w:color="auto" w:sz="8" w:space="0"/>
              <w:right w:val="single" w:color="auto" w:sz="8" w:space="0"/>
            </w:tcBorders>
            <w:noWrap w:val="0"/>
            <w:vAlign w:val="center"/>
          </w:tcPr>
          <w:p w14:paraId="3BC5B688">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59.3%</w:t>
            </w:r>
          </w:p>
        </w:tc>
        <w:tc>
          <w:tcPr>
            <w:tcW w:w="1080" w:type="dxa"/>
            <w:tcBorders>
              <w:top w:val="nil"/>
              <w:left w:val="nil"/>
              <w:bottom w:val="single" w:color="auto" w:sz="8" w:space="0"/>
              <w:right w:val="single" w:color="auto" w:sz="8" w:space="0"/>
            </w:tcBorders>
            <w:noWrap w:val="0"/>
            <w:vAlign w:val="center"/>
          </w:tcPr>
          <w:p w14:paraId="0D6B4F8A">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1034</w:t>
            </w:r>
          </w:p>
        </w:tc>
        <w:tc>
          <w:tcPr>
            <w:tcW w:w="1080" w:type="dxa"/>
            <w:tcBorders>
              <w:top w:val="nil"/>
              <w:left w:val="nil"/>
              <w:bottom w:val="single" w:color="auto" w:sz="8" w:space="0"/>
              <w:right w:val="single" w:color="auto" w:sz="8" w:space="0"/>
            </w:tcBorders>
            <w:noWrap w:val="0"/>
            <w:vAlign w:val="center"/>
          </w:tcPr>
          <w:p w14:paraId="1F214F4A">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40.7%</w:t>
            </w:r>
          </w:p>
        </w:tc>
      </w:tr>
      <w:tr w14:paraId="3D91ABC3">
        <w:tblPrEx>
          <w:tblCellMar>
            <w:top w:w="0" w:type="dxa"/>
            <w:left w:w="0" w:type="dxa"/>
            <w:bottom w:w="0" w:type="dxa"/>
            <w:right w:w="0" w:type="dxa"/>
          </w:tblCellMar>
        </w:tblPrEx>
        <w:trPr>
          <w:trHeight w:val="285" w:hRule="atLeast"/>
          <w:jc w:val="center"/>
        </w:trPr>
        <w:tc>
          <w:tcPr>
            <w:tcW w:w="2160" w:type="dxa"/>
            <w:tcBorders>
              <w:top w:val="single" w:color="auto" w:sz="8" w:space="0"/>
              <w:left w:val="single" w:color="auto" w:sz="8" w:space="0"/>
              <w:bottom w:val="single" w:color="auto" w:sz="8" w:space="0"/>
              <w:right w:val="single" w:color="000000" w:sz="8" w:space="0"/>
            </w:tcBorders>
            <w:noWrap w:val="0"/>
            <w:vAlign w:val="center"/>
          </w:tcPr>
          <w:p w14:paraId="717B9AD6">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岗位实习</w:t>
            </w:r>
          </w:p>
        </w:tc>
        <w:tc>
          <w:tcPr>
            <w:tcW w:w="1080" w:type="dxa"/>
            <w:tcBorders>
              <w:top w:val="nil"/>
              <w:left w:val="nil"/>
              <w:bottom w:val="single" w:color="auto" w:sz="8" w:space="0"/>
              <w:right w:val="single" w:color="auto" w:sz="8" w:space="0"/>
            </w:tcBorders>
            <w:noWrap w:val="0"/>
            <w:vAlign w:val="center"/>
          </w:tcPr>
          <w:p w14:paraId="3F3F4535">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080" w:type="dxa"/>
            <w:tcBorders>
              <w:top w:val="nil"/>
              <w:left w:val="nil"/>
              <w:bottom w:val="single" w:color="auto" w:sz="8" w:space="0"/>
              <w:right w:val="single" w:color="auto" w:sz="8" w:space="0"/>
            </w:tcBorders>
            <w:noWrap w:val="0"/>
            <w:vAlign w:val="center"/>
          </w:tcPr>
          <w:p w14:paraId="4CF8B08A">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20</w:t>
            </w:r>
          </w:p>
        </w:tc>
        <w:tc>
          <w:tcPr>
            <w:tcW w:w="1080" w:type="dxa"/>
            <w:tcBorders>
              <w:top w:val="nil"/>
              <w:left w:val="nil"/>
              <w:bottom w:val="single" w:color="auto" w:sz="8" w:space="0"/>
              <w:right w:val="single" w:color="auto" w:sz="8" w:space="0"/>
            </w:tcBorders>
            <w:noWrap w:val="0"/>
            <w:vAlign w:val="center"/>
          </w:tcPr>
          <w:p w14:paraId="138C5259">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600</w:t>
            </w:r>
          </w:p>
        </w:tc>
        <w:tc>
          <w:tcPr>
            <w:tcW w:w="1080" w:type="dxa"/>
            <w:tcBorders>
              <w:top w:val="nil"/>
              <w:left w:val="nil"/>
              <w:bottom w:val="single" w:color="auto" w:sz="8" w:space="0"/>
              <w:right w:val="single" w:color="auto" w:sz="8" w:space="0"/>
            </w:tcBorders>
            <w:noWrap w:val="0"/>
            <w:vAlign w:val="center"/>
          </w:tcPr>
          <w:p w14:paraId="37317AAC">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0</w:t>
            </w:r>
          </w:p>
        </w:tc>
        <w:tc>
          <w:tcPr>
            <w:tcW w:w="1080" w:type="dxa"/>
            <w:tcBorders>
              <w:top w:val="nil"/>
              <w:left w:val="nil"/>
              <w:bottom w:val="single" w:color="auto" w:sz="8" w:space="0"/>
              <w:right w:val="single" w:color="auto" w:sz="8" w:space="0"/>
            </w:tcBorders>
            <w:noWrap w:val="0"/>
            <w:vAlign w:val="center"/>
          </w:tcPr>
          <w:p w14:paraId="39AF52C0">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0</w:t>
            </w:r>
          </w:p>
        </w:tc>
        <w:tc>
          <w:tcPr>
            <w:tcW w:w="1080" w:type="dxa"/>
            <w:tcBorders>
              <w:top w:val="nil"/>
              <w:left w:val="nil"/>
              <w:bottom w:val="single" w:color="auto" w:sz="8" w:space="0"/>
              <w:right w:val="single" w:color="auto" w:sz="8" w:space="0"/>
            </w:tcBorders>
            <w:noWrap w:val="0"/>
            <w:vAlign w:val="center"/>
          </w:tcPr>
          <w:p w14:paraId="364B5924">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600</w:t>
            </w:r>
          </w:p>
        </w:tc>
        <w:tc>
          <w:tcPr>
            <w:tcW w:w="1080" w:type="dxa"/>
            <w:tcBorders>
              <w:top w:val="nil"/>
              <w:left w:val="nil"/>
              <w:bottom w:val="single" w:color="auto" w:sz="8" w:space="0"/>
              <w:right w:val="single" w:color="auto" w:sz="8" w:space="0"/>
            </w:tcBorders>
            <w:noWrap w:val="0"/>
            <w:vAlign w:val="center"/>
          </w:tcPr>
          <w:p w14:paraId="27793070">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100%</w:t>
            </w:r>
          </w:p>
        </w:tc>
      </w:tr>
      <w:tr w14:paraId="007144AD">
        <w:tblPrEx>
          <w:tblCellMar>
            <w:top w:w="0" w:type="dxa"/>
            <w:left w:w="0" w:type="dxa"/>
            <w:bottom w:w="0" w:type="dxa"/>
            <w:right w:w="0" w:type="dxa"/>
          </w:tblCellMar>
        </w:tblPrEx>
        <w:trPr>
          <w:trHeight w:val="285" w:hRule="atLeast"/>
          <w:jc w:val="center"/>
        </w:trPr>
        <w:tc>
          <w:tcPr>
            <w:tcW w:w="2160" w:type="dxa"/>
            <w:tcBorders>
              <w:top w:val="single" w:color="auto" w:sz="8" w:space="0"/>
              <w:left w:val="single" w:color="auto" w:sz="8" w:space="0"/>
              <w:bottom w:val="single" w:color="auto" w:sz="8" w:space="0"/>
              <w:right w:val="single" w:color="000000" w:sz="8" w:space="0"/>
            </w:tcBorders>
            <w:noWrap w:val="0"/>
            <w:vAlign w:val="center"/>
          </w:tcPr>
          <w:p w14:paraId="668F33FC">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总计</w:t>
            </w:r>
          </w:p>
        </w:tc>
        <w:tc>
          <w:tcPr>
            <w:tcW w:w="1080" w:type="dxa"/>
            <w:tcBorders>
              <w:top w:val="nil"/>
              <w:left w:val="nil"/>
              <w:bottom w:val="single" w:color="auto" w:sz="8" w:space="0"/>
              <w:right w:val="single" w:color="auto" w:sz="8" w:space="0"/>
            </w:tcBorders>
            <w:noWrap w:val="0"/>
            <w:vAlign w:val="center"/>
          </w:tcPr>
          <w:p w14:paraId="0DE44CB3">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35</w:t>
            </w:r>
          </w:p>
        </w:tc>
        <w:tc>
          <w:tcPr>
            <w:tcW w:w="1080" w:type="dxa"/>
            <w:tcBorders>
              <w:top w:val="nil"/>
              <w:left w:val="nil"/>
              <w:bottom w:val="single" w:color="auto" w:sz="8" w:space="0"/>
              <w:right w:val="single" w:color="auto" w:sz="8" w:space="0"/>
            </w:tcBorders>
            <w:noWrap w:val="0"/>
            <w:vAlign w:val="center"/>
          </w:tcPr>
          <w:p w14:paraId="52927BC3">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161</w:t>
            </w:r>
          </w:p>
        </w:tc>
        <w:tc>
          <w:tcPr>
            <w:tcW w:w="1080" w:type="dxa"/>
            <w:tcBorders>
              <w:top w:val="nil"/>
              <w:left w:val="nil"/>
              <w:bottom w:val="single" w:color="auto" w:sz="8" w:space="0"/>
              <w:right w:val="single" w:color="auto" w:sz="8" w:space="0"/>
            </w:tcBorders>
            <w:noWrap w:val="0"/>
            <w:vAlign w:val="center"/>
          </w:tcPr>
          <w:p w14:paraId="527A2842">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3138</w:t>
            </w:r>
          </w:p>
        </w:tc>
        <w:tc>
          <w:tcPr>
            <w:tcW w:w="1080" w:type="dxa"/>
            <w:tcBorders>
              <w:top w:val="nil"/>
              <w:left w:val="nil"/>
              <w:bottom w:val="single" w:color="auto" w:sz="8" w:space="0"/>
              <w:right w:val="single" w:color="auto" w:sz="8" w:space="0"/>
            </w:tcBorders>
            <w:noWrap w:val="0"/>
            <w:vAlign w:val="center"/>
          </w:tcPr>
          <w:p w14:paraId="10C09305">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1504</w:t>
            </w:r>
          </w:p>
        </w:tc>
        <w:tc>
          <w:tcPr>
            <w:tcW w:w="1080" w:type="dxa"/>
            <w:tcBorders>
              <w:top w:val="nil"/>
              <w:left w:val="nil"/>
              <w:bottom w:val="single" w:color="auto" w:sz="8" w:space="0"/>
              <w:right w:val="single" w:color="auto" w:sz="8" w:space="0"/>
            </w:tcBorders>
            <w:noWrap w:val="0"/>
            <w:vAlign w:val="center"/>
          </w:tcPr>
          <w:p w14:paraId="2607EF5B">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47.9%</w:t>
            </w:r>
          </w:p>
        </w:tc>
        <w:tc>
          <w:tcPr>
            <w:tcW w:w="1080" w:type="dxa"/>
            <w:tcBorders>
              <w:top w:val="nil"/>
              <w:left w:val="nil"/>
              <w:bottom w:val="single" w:color="auto" w:sz="8" w:space="0"/>
              <w:right w:val="single" w:color="auto" w:sz="8" w:space="0"/>
            </w:tcBorders>
            <w:noWrap w:val="0"/>
            <w:vAlign w:val="center"/>
          </w:tcPr>
          <w:p w14:paraId="5FFD231B">
            <w:pPr>
              <w:keepNext w:val="0"/>
              <w:keepLines w:val="0"/>
              <w:pageBreakBefore w:val="0"/>
              <w:widowControl/>
              <w:wordWrap/>
              <w:overflowPunct/>
              <w:topLinePunct w:val="0"/>
              <w:bidi w:val="0"/>
              <w:spacing w:line="440" w:lineRule="exact"/>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1634</w:t>
            </w:r>
          </w:p>
        </w:tc>
        <w:tc>
          <w:tcPr>
            <w:tcW w:w="1080" w:type="dxa"/>
            <w:tcBorders>
              <w:top w:val="nil"/>
              <w:left w:val="nil"/>
              <w:bottom w:val="single" w:color="auto" w:sz="8" w:space="0"/>
              <w:right w:val="single" w:color="auto" w:sz="8" w:space="0"/>
            </w:tcBorders>
            <w:noWrap w:val="0"/>
            <w:vAlign w:val="center"/>
          </w:tcPr>
          <w:p w14:paraId="4CC0EEB4">
            <w:pPr>
              <w:keepNext w:val="0"/>
              <w:keepLines w:val="0"/>
              <w:pageBreakBefore w:val="0"/>
              <w:widowControl/>
              <w:wordWrap/>
              <w:overflowPunct/>
              <w:topLinePunct w:val="0"/>
              <w:bidi w:val="0"/>
              <w:spacing w:line="440" w:lineRule="exact"/>
              <w:jc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52.1%</w:t>
            </w:r>
          </w:p>
        </w:tc>
      </w:tr>
    </w:tbl>
    <w:p w14:paraId="6318C153">
      <w:pPr>
        <w:pStyle w:val="3"/>
        <w:bidi w:val="0"/>
        <w:rPr>
          <w:rFonts w:hint="eastAsia"/>
          <w:sz w:val="24"/>
          <w:szCs w:val="24"/>
          <w:lang w:val="zh-CN" w:eastAsia="zh-CN"/>
        </w:rPr>
      </w:pPr>
      <w:bookmarkStart w:id="45" w:name="_Toc1270839979"/>
      <w:r>
        <w:rPr>
          <w:rFonts w:hint="eastAsia"/>
          <w:sz w:val="24"/>
          <w:szCs w:val="24"/>
          <w:lang w:val="zh-CN" w:eastAsia="zh-CN"/>
        </w:rPr>
        <w:t>（三）教学进程表</w:t>
      </w:r>
      <w:bookmarkEnd w:id="42"/>
      <w:bookmarkEnd w:id="43"/>
      <w:bookmarkEnd w:id="44"/>
      <w:bookmarkEnd w:id="45"/>
    </w:p>
    <w:tbl>
      <w:tblPr>
        <w:tblStyle w:val="15"/>
        <w:tblW w:w="9648" w:type="dxa"/>
        <w:jc w:val="center"/>
        <w:tblLayout w:type="fixed"/>
        <w:tblCellMar>
          <w:top w:w="0" w:type="dxa"/>
          <w:left w:w="56" w:type="dxa"/>
          <w:bottom w:w="0" w:type="dxa"/>
          <w:right w:w="56" w:type="dxa"/>
        </w:tblCellMar>
      </w:tblPr>
      <w:tblGrid>
        <w:gridCol w:w="527"/>
        <w:gridCol w:w="1873"/>
        <w:gridCol w:w="531"/>
        <w:gridCol w:w="606"/>
        <w:gridCol w:w="567"/>
        <w:gridCol w:w="567"/>
        <w:gridCol w:w="425"/>
        <w:gridCol w:w="425"/>
        <w:gridCol w:w="567"/>
        <w:gridCol w:w="611"/>
        <w:gridCol w:w="709"/>
        <w:gridCol w:w="610"/>
        <w:gridCol w:w="524"/>
        <w:gridCol w:w="567"/>
        <w:gridCol w:w="539"/>
      </w:tblGrid>
      <w:tr w14:paraId="6451C456">
        <w:tblPrEx>
          <w:tblCellMar>
            <w:top w:w="0" w:type="dxa"/>
            <w:left w:w="56" w:type="dxa"/>
            <w:bottom w:w="0" w:type="dxa"/>
            <w:right w:w="56" w:type="dxa"/>
          </w:tblCellMar>
        </w:tblPrEx>
        <w:trPr>
          <w:cantSplit/>
          <w:trHeight w:val="23" w:hRule="atLeast"/>
          <w:jc w:val="center"/>
        </w:trPr>
        <w:tc>
          <w:tcPr>
            <w:tcW w:w="527" w:type="dxa"/>
            <w:vMerge w:val="restart"/>
            <w:tcBorders>
              <w:top w:val="single" w:color="auto" w:sz="6" w:space="0"/>
              <w:left w:val="single" w:color="auto" w:sz="6" w:space="0"/>
              <w:right w:val="single" w:color="auto" w:sz="4" w:space="0"/>
            </w:tcBorders>
            <w:noWrap w:val="0"/>
            <w:vAlign w:val="center"/>
          </w:tcPr>
          <w:p w14:paraId="1613D367">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类</w:t>
            </w:r>
          </w:p>
          <w:p w14:paraId="3EA70094">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别</w:t>
            </w:r>
          </w:p>
        </w:tc>
        <w:tc>
          <w:tcPr>
            <w:tcW w:w="1873" w:type="dxa"/>
            <w:vMerge w:val="restart"/>
            <w:tcBorders>
              <w:top w:val="single" w:color="auto" w:sz="6" w:space="0"/>
              <w:left w:val="single" w:color="auto" w:sz="4" w:space="0"/>
              <w:right w:val="single" w:color="auto" w:sz="6" w:space="0"/>
            </w:tcBorders>
            <w:noWrap w:val="0"/>
            <w:vAlign w:val="center"/>
          </w:tcPr>
          <w:p w14:paraId="20CFF684">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课程名称</w:t>
            </w:r>
          </w:p>
        </w:tc>
        <w:tc>
          <w:tcPr>
            <w:tcW w:w="531" w:type="dxa"/>
            <w:vMerge w:val="restart"/>
            <w:tcBorders>
              <w:top w:val="single" w:color="auto" w:sz="6" w:space="0"/>
              <w:left w:val="single" w:color="auto" w:sz="6" w:space="0"/>
              <w:right w:val="single" w:color="auto" w:sz="6" w:space="0"/>
            </w:tcBorders>
            <w:noWrap w:val="0"/>
            <w:vAlign w:val="center"/>
          </w:tcPr>
          <w:p w14:paraId="13C9C502">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课程性质</w:t>
            </w:r>
          </w:p>
        </w:tc>
        <w:tc>
          <w:tcPr>
            <w:tcW w:w="606" w:type="dxa"/>
            <w:vMerge w:val="restart"/>
            <w:tcBorders>
              <w:top w:val="single" w:color="auto" w:sz="6" w:space="0"/>
              <w:left w:val="single" w:color="auto" w:sz="6" w:space="0"/>
              <w:right w:val="single" w:color="auto" w:sz="6" w:space="0"/>
            </w:tcBorders>
            <w:noWrap w:val="0"/>
            <w:vAlign w:val="center"/>
          </w:tcPr>
          <w:p w14:paraId="51239CDB">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总课时</w:t>
            </w:r>
          </w:p>
        </w:tc>
        <w:tc>
          <w:tcPr>
            <w:tcW w:w="567" w:type="dxa"/>
            <w:vMerge w:val="restart"/>
            <w:tcBorders>
              <w:top w:val="single" w:color="auto" w:sz="6" w:space="0"/>
              <w:left w:val="single" w:color="auto" w:sz="6" w:space="0"/>
              <w:right w:val="single" w:color="auto" w:sz="6" w:space="0"/>
            </w:tcBorders>
            <w:noWrap w:val="0"/>
            <w:vAlign w:val="center"/>
          </w:tcPr>
          <w:p w14:paraId="4E5288AF">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理论时数</w:t>
            </w:r>
          </w:p>
        </w:tc>
        <w:tc>
          <w:tcPr>
            <w:tcW w:w="567" w:type="dxa"/>
            <w:vMerge w:val="restart"/>
            <w:tcBorders>
              <w:top w:val="single" w:color="auto" w:sz="6" w:space="0"/>
              <w:left w:val="single" w:color="auto" w:sz="6" w:space="0"/>
              <w:right w:val="single" w:color="auto" w:sz="6" w:space="0"/>
            </w:tcBorders>
            <w:noWrap w:val="0"/>
            <w:vAlign w:val="center"/>
          </w:tcPr>
          <w:p w14:paraId="3A10EA71">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实践时数</w:t>
            </w:r>
          </w:p>
        </w:tc>
        <w:tc>
          <w:tcPr>
            <w:tcW w:w="425" w:type="dxa"/>
            <w:vMerge w:val="restart"/>
            <w:tcBorders>
              <w:top w:val="single" w:color="auto" w:sz="6" w:space="0"/>
              <w:left w:val="single" w:color="auto" w:sz="6" w:space="0"/>
              <w:right w:val="single" w:color="auto" w:sz="6" w:space="0"/>
            </w:tcBorders>
            <w:noWrap w:val="0"/>
            <w:vAlign w:val="center"/>
          </w:tcPr>
          <w:p w14:paraId="1754F8DD">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学分</w:t>
            </w:r>
          </w:p>
        </w:tc>
        <w:tc>
          <w:tcPr>
            <w:tcW w:w="425" w:type="dxa"/>
            <w:vMerge w:val="restart"/>
            <w:tcBorders>
              <w:top w:val="single" w:color="auto" w:sz="6" w:space="0"/>
              <w:left w:val="single" w:color="auto" w:sz="6" w:space="0"/>
              <w:right w:val="single" w:color="auto" w:sz="6" w:space="0"/>
            </w:tcBorders>
            <w:noWrap w:val="0"/>
            <w:vAlign w:val="center"/>
          </w:tcPr>
          <w:p w14:paraId="480B445D">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周课时</w:t>
            </w:r>
          </w:p>
        </w:tc>
        <w:tc>
          <w:tcPr>
            <w:tcW w:w="567" w:type="dxa"/>
            <w:vMerge w:val="restart"/>
            <w:tcBorders>
              <w:top w:val="single" w:color="auto" w:sz="6" w:space="0"/>
              <w:left w:val="single" w:color="auto" w:sz="6" w:space="0"/>
              <w:right w:val="single" w:color="auto" w:sz="6" w:space="0"/>
            </w:tcBorders>
            <w:noWrap w:val="0"/>
            <w:vAlign w:val="center"/>
          </w:tcPr>
          <w:p w14:paraId="5B723168">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考核方式</w:t>
            </w:r>
          </w:p>
        </w:tc>
        <w:tc>
          <w:tcPr>
            <w:tcW w:w="3560" w:type="dxa"/>
            <w:gridSpan w:val="6"/>
            <w:tcBorders>
              <w:top w:val="single" w:color="auto" w:sz="6" w:space="0"/>
              <w:left w:val="single" w:color="auto" w:sz="6" w:space="0"/>
              <w:bottom w:val="single" w:color="auto" w:sz="6" w:space="0"/>
              <w:right w:val="single" w:color="auto" w:sz="6" w:space="0"/>
            </w:tcBorders>
            <w:noWrap w:val="0"/>
            <w:vAlign w:val="center"/>
          </w:tcPr>
          <w:p w14:paraId="7AF64E0F">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各学期计划周学时安排（周学时/周数）</w:t>
            </w:r>
          </w:p>
        </w:tc>
      </w:tr>
      <w:tr w14:paraId="3262F49B">
        <w:tblPrEx>
          <w:tblCellMar>
            <w:top w:w="0" w:type="dxa"/>
            <w:left w:w="56" w:type="dxa"/>
            <w:bottom w:w="0" w:type="dxa"/>
            <w:right w:w="56" w:type="dxa"/>
          </w:tblCellMar>
        </w:tblPrEx>
        <w:trPr>
          <w:cantSplit/>
          <w:trHeight w:val="23" w:hRule="atLeast"/>
          <w:jc w:val="center"/>
        </w:trPr>
        <w:tc>
          <w:tcPr>
            <w:tcW w:w="527" w:type="dxa"/>
            <w:vMerge w:val="continue"/>
            <w:tcBorders>
              <w:left w:val="single" w:color="auto" w:sz="6" w:space="0"/>
              <w:bottom w:val="single" w:color="auto" w:sz="4" w:space="0"/>
              <w:right w:val="single" w:color="auto" w:sz="4" w:space="0"/>
            </w:tcBorders>
            <w:noWrap w:val="0"/>
            <w:vAlign w:val="center"/>
          </w:tcPr>
          <w:p w14:paraId="015CFF9B">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p>
        </w:tc>
        <w:tc>
          <w:tcPr>
            <w:tcW w:w="1873" w:type="dxa"/>
            <w:vMerge w:val="continue"/>
            <w:tcBorders>
              <w:left w:val="single" w:color="auto" w:sz="4" w:space="0"/>
              <w:bottom w:val="single" w:color="auto" w:sz="4" w:space="0"/>
              <w:right w:val="single" w:color="auto" w:sz="6" w:space="0"/>
            </w:tcBorders>
            <w:noWrap w:val="0"/>
            <w:vAlign w:val="center"/>
          </w:tcPr>
          <w:p w14:paraId="00239993">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p>
        </w:tc>
        <w:tc>
          <w:tcPr>
            <w:tcW w:w="531" w:type="dxa"/>
            <w:vMerge w:val="continue"/>
            <w:tcBorders>
              <w:left w:val="single" w:color="auto" w:sz="6" w:space="0"/>
              <w:right w:val="single" w:color="auto" w:sz="6" w:space="0"/>
            </w:tcBorders>
            <w:noWrap w:val="0"/>
            <w:vAlign w:val="center"/>
          </w:tcPr>
          <w:p w14:paraId="240577FA">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p>
        </w:tc>
        <w:tc>
          <w:tcPr>
            <w:tcW w:w="606" w:type="dxa"/>
            <w:vMerge w:val="continue"/>
            <w:tcBorders>
              <w:left w:val="single" w:color="auto" w:sz="6" w:space="0"/>
              <w:bottom w:val="single" w:color="auto" w:sz="6" w:space="0"/>
              <w:right w:val="single" w:color="auto" w:sz="6" w:space="0"/>
            </w:tcBorders>
            <w:noWrap w:val="0"/>
            <w:vAlign w:val="center"/>
          </w:tcPr>
          <w:p w14:paraId="2A2A4FE0">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p>
        </w:tc>
        <w:tc>
          <w:tcPr>
            <w:tcW w:w="567" w:type="dxa"/>
            <w:vMerge w:val="continue"/>
            <w:tcBorders>
              <w:left w:val="single" w:color="auto" w:sz="6" w:space="0"/>
              <w:bottom w:val="single" w:color="auto" w:sz="6" w:space="0"/>
              <w:right w:val="single" w:color="auto" w:sz="6" w:space="0"/>
            </w:tcBorders>
            <w:noWrap w:val="0"/>
            <w:vAlign w:val="center"/>
          </w:tcPr>
          <w:p w14:paraId="5A0A14B5">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p>
        </w:tc>
        <w:tc>
          <w:tcPr>
            <w:tcW w:w="567" w:type="dxa"/>
            <w:vMerge w:val="continue"/>
            <w:tcBorders>
              <w:left w:val="single" w:color="auto" w:sz="6" w:space="0"/>
              <w:bottom w:val="single" w:color="auto" w:sz="6" w:space="0"/>
              <w:right w:val="single" w:color="auto" w:sz="6" w:space="0"/>
            </w:tcBorders>
            <w:noWrap w:val="0"/>
            <w:vAlign w:val="center"/>
          </w:tcPr>
          <w:p w14:paraId="70BB1A8B">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p>
        </w:tc>
        <w:tc>
          <w:tcPr>
            <w:tcW w:w="425" w:type="dxa"/>
            <w:vMerge w:val="continue"/>
            <w:tcBorders>
              <w:left w:val="single" w:color="auto" w:sz="6" w:space="0"/>
              <w:bottom w:val="single" w:color="auto" w:sz="6" w:space="0"/>
              <w:right w:val="single" w:color="auto" w:sz="6" w:space="0"/>
            </w:tcBorders>
            <w:noWrap w:val="0"/>
            <w:vAlign w:val="center"/>
          </w:tcPr>
          <w:p w14:paraId="1E894100">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p>
        </w:tc>
        <w:tc>
          <w:tcPr>
            <w:tcW w:w="425" w:type="dxa"/>
            <w:vMerge w:val="continue"/>
            <w:tcBorders>
              <w:left w:val="single" w:color="auto" w:sz="6" w:space="0"/>
              <w:bottom w:val="single" w:color="auto" w:sz="6" w:space="0"/>
              <w:right w:val="single" w:color="auto" w:sz="6" w:space="0"/>
            </w:tcBorders>
            <w:noWrap w:val="0"/>
            <w:vAlign w:val="center"/>
          </w:tcPr>
          <w:p w14:paraId="1DF5DAF7">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p>
        </w:tc>
        <w:tc>
          <w:tcPr>
            <w:tcW w:w="567" w:type="dxa"/>
            <w:vMerge w:val="continue"/>
            <w:tcBorders>
              <w:left w:val="single" w:color="auto" w:sz="6" w:space="0"/>
              <w:bottom w:val="single" w:color="auto" w:sz="6" w:space="0"/>
              <w:right w:val="single" w:color="auto" w:sz="6" w:space="0"/>
            </w:tcBorders>
            <w:noWrap w:val="0"/>
            <w:vAlign w:val="center"/>
          </w:tcPr>
          <w:p w14:paraId="4D8BBF27">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p>
        </w:tc>
        <w:tc>
          <w:tcPr>
            <w:tcW w:w="611" w:type="dxa"/>
            <w:tcBorders>
              <w:top w:val="single" w:color="auto" w:sz="6" w:space="0"/>
              <w:left w:val="single" w:color="auto" w:sz="6" w:space="0"/>
              <w:bottom w:val="single" w:color="auto" w:sz="6" w:space="0"/>
              <w:right w:val="single" w:color="auto" w:sz="6" w:space="0"/>
            </w:tcBorders>
            <w:noWrap w:val="0"/>
            <w:vAlign w:val="center"/>
          </w:tcPr>
          <w:p w14:paraId="63AB8ED9">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一</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28A38299">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二</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29BF5428">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三</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295A0ED0">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四</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52C4EC40">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五</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1F836959">
            <w:pPr>
              <w:keepNext w:val="0"/>
              <w:keepLines w:val="0"/>
              <w:pageBreakBefore w:val="0"/>
              <w:wordWrap/>
              <w:overflowPunct/>
              <w:topLinePunct w:val="0"/>
              <w:autoSpaceDE w:val="0"/>
              <w:autoSpaceDN w:val="0"/>
              <w:bidi w:val="0"/>
              <w:adjustRightInd w:val="0"/>
              <w:snapToGrid w:val="0"/>
              <w:spacing w:line="440" w:lineRule="exact"/>
              <w:jc w:val="center"/>
              <w:rPr>
                <w:rFonts w:hint="eastAsia" w:asciiTheme="minorEastAsia" w:hAnsiTheme="minorEastAsia" w:eastAsiaTheme="minorEastAsia" w:cstheme="minorEastAsia"/>
                <w:b/>
                <w:bCs/>
                <w:color w:val="000000"/>
                <w:kern w:val="0"/>
                <w:sz w:val="18"/>
                <w:szCs w:val="18"/>
                <w:lang w:val="zh-CN"/>
              </w:rPr>
            </w:pPr>
            <w:r>
              <w:rPr>
                <w:rFonts w:hint="eastAsia" w:asciiTheme="minorEastAsia" w:hAnsiTheme="minorEastAsia" w:eastAsiaTheme="minorEastAsia" w:cstheme="minorEastAsia"/>
                <w:b/>
                <w:bCs/>
                <w:color w:val="000000"/>
                <w:kern w:val="0"/>
                <w:sz w:val="18"/>
                <w:szCs w:val="18"/>
                <w:lang w:val="zh-CN"/>
              </w:rPr>
              <w:t>六</w:t>
            </w:r>
          </w:p>
        </w:tc>
      </w:tr>
      <w:tr w14:paraId="44AA5FF5">
        <w:tblPrEx>
          <w:tblCellMar>
            <w:top w:w="0" w:type="dxa"/>
            <w:left w:w="56" w:type="dxa"/>
            <w:bottom w:w="0" w:type="dxa"/>
            <w:right w:w="56" w:type="dxa"/>
          </w:tblCellMar>
        </w:tblPrEx>
        <w:trPr>
          <w:cantSplit/>
          <w:trHeight w:val="23" w:hRule="atLeast"/>
          <w:jc w:val="center"/>
        </w:trPr>
        <w:tc>
          <w:tcPr>
            <w:tcW w:w="527" w:type="dxa"/>
            <w:vMerge w:val="restart"/>
            <w:tcBorders>
              <w:top w:val="single" w:color="auto" w:sz="4" w:space="0"/>
              <w:left w:val="single" w:color="auto" w:sz="4" w:space="0"/>
              <w:right w:val="single" w:color="auto" w:sz="4" w:space="0"/>
            </w:tcBorders>
            <w:noWrap w:val="0"/>
            <w:vAlign w:val="center"/>
          </w:tcPr>
          <w:p w14:paraId="5FBDEF3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素质教育课程</w:t>
            </w:r>
          </w:p>
        </w:tc>
        <w:tc>
          <w:tcPr>
            <w:tcW w:w="1873" w:type="dxa"/>
            <w:tcBorders>
              <w:top w:val="single" w:color="auto" w:sz="4" w:space="0"/>
              <w:left w:val="single" w:color="auto" w:sz="4" w:space="0"/>
              <w:bottom w:val="single" w:color="auto" w:sz="4" w:space="0"/>
              <w:right w:val="single" w:color="auto" w:sz="4" w:space="0"/>
            </w:tcBorders>
            <w:noWrap w:val="0"/>
            <w:vAlign w:val="center"/>
          </w:tcPr>
          <w:p w14:paraId="4A483EA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入学教育及军训</w:t>
            </w:r>
          </w:p>
        </w:tc>
        <w:tc>
          <w:tcPr>
            <w:tcW w:w="531" w:type="dxa"/>
            <w:tcBorders>
              <w:top w:val="single" w:color="auto" w:sz="6" w:space="0"/>
              <w:left w:val="single" w:color="auto" w:sz="4" w:space="0"/>
              <w:bottom w:val="single" w:color="auto" w:sz="4" w:space="0"/>
              <w:right w:val="single" w:color="auto" w:sz="6" w:space="0"/>
            </w:tcBorders>
            <w:noWrap w:val="0"/>
            <w:vAlign w:val="center"/>
          </w:tcPr>
          <w:p w14:paraId="61E79B7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4B4E670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60</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0ADC52F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6CC1C0D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40</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01CFD79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430D488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30</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6BCA549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top"/>
          </w:tcPr>
          <w:p w14:paraId="0D79E85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zh-CN"/>
              </w:rPr>
              <w:t>周</w:t>
            </w:r>
          </w:p>
        </w:tc>
        <w:tc>
          <w:tcPr>
            <w:tcW w:w="709" w:type="dxa"/>
            <w:tcBorders>
              <w:top w:val="single" w:color="auto" w:sz="6" w:space="0"/>
              <w:left w:val="single" w:color="auto" w:sz="6" w:space="0"/>
              <w:bottom w:val="single" w:color="auto" w:sz="6" w:space="0"/>
              <w:right w:val="single" w:color="auto" w:sz="6" w:space="0"/>
            </w:tcBorders>
            <w:noWrap w:val="0"/>
            <w:vAlign w:val="top"/>
          </w:tcPr>
          <w:p w14:paraId="447A0C6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610" w:type="dxa"/>
            <w:tcBorders>
              <w:top w:val="single" w:color="auto" w:sz="6" w:space="0"/>
              <w:left w:val="single" w:color="auto" w:sz="6" w:space="0"/>
              <w:bottom w:val="single" w:color="auto" w:sz="6" w:space="0"/>
              <w:right w:val="single" w:color="auto" w:sz="6" w:space="0"/>
            </w:tcBorders>
            <w:noWrap w:val="0"/>
            <w:vAlign w:val="top"/>
          </w:tcPr>
          <w:p w14:paraId="1D803F4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top"/>
          </w:tcPr>
          <w:p w14:paraId="5C9FC97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1372D6B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653684C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44B0F67E">
        <w:tblPrEx>
          <w:tblCellMar>
            <w:top w:w="0" w:type="dxa"/>
            <w:left w:w="56" w:type="dxa"/>
            <w:bottom w:w="0" w:type="dxa"/>
            <w:right w:w="56" w:type="dxa"/>
          </w:tblCellMar>
        </w:tblPrEx>
        <w:trPr>
          <w:cantSplit/>
          <w:trHeight w:val="23" w:hRule="atLeast"/>
          <w:jc w:val="center"/>
        </w:trPr>
        <w:tc>
          <w:tcPr>
            <w:tcW w:w="527" w:type="dxa"/>
            <w:vMerge w:val="continue"/>
            <w:tcBorders>
              <w:left w:val="single" w:color="auto" w:sz="4" w:space="0"/>
              <w:right w:val="single" w:color="auto" w:sz="4" w:space="0"/>
            </w:tcBorders>
            <w:noWrap w:val="0"/>
            <w:vAlign w:val="center"/>
          </w:tcPr>
          <w:p w14:paraId="1330A1E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2BDAA79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劳动教育</w:t>
            </w: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104114)</w:t>
            </w:r>
          </w:p>
        </w:tc>
        <w:tc>
          <w:tcPr>
            <w:tcW w:w="531" w:type="dxa"/>
            <w:tcBorders>
              <w:top w:val="single" w:color="auto" w:sz="6" w:space="0"/>
              <w:left w:val="single" w:color="auto" w:sz="4" w:space="0"/>
              <w:bottom w:val="single" w:color="auto" w:sz="4" w:space="0"/>
              <w:right w:val="single" w:color="auto" w:sz="6" w:space="0"/>
            </w:tcBorders>
            <w:noWrap w:val="0"/>
            <w:vAlign w:val="center"/>
          </w:tcPr>
          <w:p w14:paraId="5AB816A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705EB7E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60</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5F8E6A7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10</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18BB2BA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50</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2B528C2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4</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3101611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6145B11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0993666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zh-CN"/>
              </w:rPr>
              <w:t>2/6</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00ED999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2/6</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53509E8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2/6</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17554D7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57EC48F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2/6</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0152150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531E7CAE">
        <w:tblPrEx>
          <w:tblCellMar>
            <w:top w:w="0" w:type="dxa"/>
            <w:left w:w="56" w:type="dxa"/>
            <w:bottom w:w="0" w:type="dxa"/>
            <w:right w:w="56" w:type="dxa"/>
          </w:tblCellMar>
        </w:tblPrEx>
        <w:trPr>
          <w:cantSplit/>
          <w:trHeight w:val="23" w:hRule="atLeast"/>
          <w:jc w:val="center"/>
        </w:trPr>
        <w:tc>
          <w:tcPr>
            <w:tcW w:w="527" w:type="dxa"/>
            <w:vMerge w:val="continue"/>
            <w:tcBorders>
              <w:left w:val="single" w:color="auto" w:sz="4" w:space="0"/>
              <w:right w:val="single" w:color="auto" w:sz="4" w:space="0"/>
            </w:tcBorders>
            <w:noWrap w:val="0"/>
            <w:vAlign w:val="center"/>
          </w:tcPr>
          <w:p w14:paraId="1CC1471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19E80BB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安全教育</w:t>
            </w:r>
          </w:p>
          <w:p w14:paraId="2FBD487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10411</w:t>
            </w:r>
            <w:r>
              <w:rPr>
                <w:rFonts w:hint="eastAsia" w:ascii="宋体" w:hAnsi="宋体" w:cs="宋体"/>
                <w:color w:val="000000"/>
                <w:kern w:val="0"/>
                <w:sz w:val="21"/>
                <w:szCs w:val="21"/>
                <w:highlight w:val="none"/>
                <w:lang w:val="en-US" w:eastAsia="zh-CN"/>
              </w:rPr>
              <w:t>5</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4" w:space="0"/>
              <w:bottom w:val="single" w:color="auto" w:sz="4" w:space="0"/>
              <w:right w:val="single" w:color="auto" w:sz="6" w:space="0"/>
            </w:tcBorders>
            <w:noWrap w:val="0"/>
            <w:vAlign w:val="center"/>
          </w:tcPr>
          <w:p w14:paraId="6B93AEF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3A06FDD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60</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1D67202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40</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75AE005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20</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6DB961F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4</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1689BC8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295EF93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66D937F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zh-CN"/>
              </w:rPr>
              <w:t>2/6</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7F350AB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2/6</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0BD4C5B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2/6</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37B5083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155848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2/6</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5974414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7B8AD308">
        <w:tblPrEx>
          <w:tblCellMar>
            <w:top w:w="0" w:type="dxa"/>
            <w:left w:w="56" w:type="dxa"/>
            <w:bottom w:w="0" w:type="dxa"/>
            <w:right w:w="56" w:type="dxa"/>
          </w:tblCellMar>
        </w:tblPrEx>
        <w:trPr>
          <w:cantSplit/>
          <w:trHeight w:val="23" w:hRule="atLeast"/>
          <w:jc w:val="center"/>
        </w:trPr>
        <w:tc>
          <w:tcPr>
            <w:tcW w:w="527" w:type="dxa"/>
            <w:vMerge w:val="continue"/>
            <w:tcBorders>
              <w:left w:val="single" w:color="auto" w:sz="4" w:space="0"/>
              <w:right w:val="single" w:color="auto" w:sz="4" w:space="0"/>
            </w:tcBorders>
            <w:noWrap w:val="0"/>
            <w:vAlign w:val="center"/>
          </w:tcPr>
          <w:p w14:paraId="2C01984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50EC17B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心理健康教育</w:t>
            </w:r>
          </w:p>
        </w:tc>
        <w:tc>
          <w:tcPr>
            <w:tcW w:w="531" w:type="dxa"/>
            <w:tcBorders>
              <w:top w:val="single" w:color="auto" w:sz="6" w:space="0"/>
              <w:left w:val="single" w:color="auto" w:sz="4" w:space="0"/>
              <w:bottom w:val="single" w:color="auto" w:sz="4" w:space="0"/>
              <w:right w:val="single" w:color="auto" w:sz="6" w:space="0"/>
            </w:tcBorders>
            <w:noWrap w:val="0"/>
            <w:vAlign w:val="center"/>
          </w:tcPr>
          <w:p w14:paraId="77153DE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35286FA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48</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17B8391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20</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59E0D59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28</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02831F6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756BD7C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67F97FB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796DD4B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zh-CN"/>
              </w:rPr>
              <w:t>2/6</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73EF874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2/6</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2E1E4FB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2/6</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1BF5591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2EEB03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2/6</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2A167C7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55BE3480">
        <w:tblPrEx>
          <w:tblCellMar>
            <w:top w:w="0" w:type="dxa"/>
            <w:left w:w="56" w:type="dxa"/>
            <w:bottom w:w="0" w:type="dxa"/>
            <w:right w:w="56" w:type="dxa"/>
          </w:tblCellMar>
        </w:tblPrEx>
        <w:trPr>
          <w:cantSplit/>
          <w:trHeight w:val="23" w:hRule="atLeast"/>
          <w:jc w:val="center"/>
        </w:trPr>
        <w:tc>
          <w:tcPr>
            <w:tcW w:w="527" w:type="dxa"/>
            <w:vMerge w:val="continue"/>
            <w:tcBorders>
              <w:left w:val="single" w:color="auto" w:sz="4" w:space="0"/>
              <w:bottom w:val="single" w:color="auto" w:sz="4" w:space="0"/>
              <w:right w:val="single" w:color="auto" w:sz="4" w:space="0"/>
            </w:tcBorders>
            <w:noWrap w:val="0"/>
            <w:vAlign w:val="center"/>
          </w:tcPr>
          <w:p w14:paraId="474F895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2404" w:type="dxa"/>
            <w:gridSpan w:val="2"/>
            <w:tcBorders>
              <w:top w:val="single" w:color="auto" w:sz="4" w:space="0"/>
              <w:left w:val="single" w:color="auto" w:sz="4" w:space="0"/>
              <w:bottom w:val="single" w:color="auto" w:sz="4" w:space="0"/>
              <w:right w:val="single" w:color="auto" w:sz="6" w:space="0"/>
            </w:tcBorders>
            <w:noWrap w:val="0"/>
            <w:vAlign w:val="center"/>
          </w:tcPr>
          <w:p w14:paraId="7A7EBDE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合计</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43BB5EE2">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228</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05300B77">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90</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2D9659A2">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138</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73CEBBCA">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13</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6D42F59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567" w:type="dxa"/>
            <w:tcBorders>
              <w:top w:val="single" w:color="auto" w:sz="4" w:space="0"/>
              <w:left w:val="single" w:color="auto" w:sz="6" w:space="0"/>
              <w:bottom w:val="single" w:color="auto" w:sz="4" w:space="0"/>
              <w:right w:val="single" w:color="auto" w:sz="6" w:space="0"/>
            </w:tcBorders>
            <w:noWrap w:val="0"/>
            <w:vAlign w:val="center"/>
          </w:tcPr>
          <w:p w14:paraId="6EB0040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611" w:type="dxa"/>
            <w:tcBorders>
              <w:top w:val="single" w:color="auto" w:sz="6" w:space="0"/>
              <w:left w:val="single" w:color="auto" w:sz="6" w:space="0"/>
              <w:bottom w:val="single" w:color="auto" w:sz="6" w:space="0"/>
              <w:right w:val="single" w:color="auto" w:sz="6" w:space="0"/>
            </w:tcBorders>
            <w:noWrap w:val="0"/>
            <w:vAlign w:val="center"/>
          </w:tcPr>
          <w:p w14:paraId="6A8EFE1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2F47FE2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6AD79CF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404EE80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1E6A893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386C86C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78DA3E93">
        <w:tblPrEx>
          <w:tblCellMar>
            <w:top w:w="0" w:type="dxa"/>
            <w:left w:w="56" w:type="dxa"/>
            <w:bottom w:w="0" w:type="dxa"/>
            <w:right w:w="56" w:type="dxa"/>
          </w:tblCellMar>
        </w:tblPrEx>
        <w:trPr>
          <w:cantSplit/>
          <w:trHeight w:val="23" w:hRule="atLeast"/>
          <w:jc w:val="center"/>
        </w:trPr>
        <w:tc>
          <w:tcPr>
            <w:tcW w:w="527" w:type="dxa"/>
            <w:vMerge w:val="restart"/>
            <w:tcBorders>
              <w:top w:val="single" w:color="auto" w:sz="4" w:space="0"/>
              <w:left w:val="single" w:color="auto" w:sz="4" w:space="0"/>
              <w:bottom w:val="single" w:color="auto" w:sz="4" w:space="0"/>
              <w:right w:val="single" w:color="auto" w:sz="4" w:space="0"/>
            </w:tcBorders>
            <w:noWrap w:val="0"/>
            <w:vAlign w:val="center"/>
          </w:tcPr>
          <w:p w14:paraId="002D614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公共基础课程</w:t>
            </w:r>
          </w:p>
        </w:tc>
        <w:tc>
          <w:tcPr>
            <w:tcW w:w="1873" w:type="dxa"/>
            <w:tcBorders>
              <w:top w:val="single" w:color="auto" w:sz="4" w:space="0"/>
              <w:left w:val="single" w:color="auto" w:sz="4" w:space="0"/>
              <w:bottom w:val="single" w:color="auto" w:sz="4" w:space="0"/>
              <w:right w:val="single" w:color="auto" w:sz="4" w:space="0"/>
            </w:tcBorders>
            <w:noWrap w:val="0"/>
            <w:vAlign w:val="center"/>
          </w:tcPr>
          <w:p w14:paraId="74824EE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中国特色社会主义</w:t>
            </w: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w:t>
            </w:r>
            <w:r>
              <w:rPr>
                <w:rFonts w:hint="eastAsia" w:ascii="宋体" w:hAnsi="宋体" w:cs="宋体"/>
                <w:color w:val="000000"/>
                <w:kern w:val="0"/>
                <w:sz w:val="21"/>
                <w:szCs w:val="21"/>
                <w:highlight w:val="none"/>
                <w:lang w:val="en-US" w:eastAsia="zh-CN"/>
              </w:rPr>
              <w:t>07</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4" w:space="0"/>
              <w:bottom w:val="single" w:color="auto" w:sz="4" w:space="0"/>
              <w:right w:val="single" w:color="auto" w:sz="6" w:space="0"/>
            </w:tcBorders>
            <w:noWrap w:val="0"/>
            <w:vAlign w:val="center"/>
          </w:tcPr>
          <w:p w14:paraId="6FE3512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1BAD390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192AC73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7CF1D00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746AD35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02AD497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2ADBFA8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21BA7B9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5744155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3D0ECC1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4618F24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7018A6D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141B40E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21E4720C">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138D473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5AF7A6B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心理健康与职业生涯</w:t>
            </w: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w:t>
            </w:r>
            <w:r>
              <w:rPr>
                <w:rFonts w:hint="eastAsia" w:ascii="宋体" w:hAnsi="宋体" w:cs="宋体"/>
                <w:color w:val="000000"/>
                <w:kern w:val="0"/>
                <w:sz w:val="21"/>
                <w:szCs w:val="21"/>
                <w:highlight w:val="none"/>
                <w:lang w:val="en-US" w:eastAsia="zh-CN"/>
              </w:rPr>
              <w:t>08</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4" w:space="0"/>
              <w:bottom w:val="single" w:color="auto" w:sz="4" w:space="0"/>
              <w:right w:val="single" w:color="auto" w:sz="6" w:space="0"/>
            </w:tcBorders>
            <w:noWrap w:val="0"/>
            <w:vAlign w:val="center"/>
          </w:tcPr>
          <w:p w14:paraId="64B1ED2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189DFE6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2852777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4E21C80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0155292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16EE3AD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09D7C93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5691335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7B0E7C2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7261AE7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2E20A70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1341774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591BB0C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70B0EE58">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0C59801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7620327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哲学与人生</w:t>
            </w: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w:t>
            </w:r>
            <w:r>
              <w:rPr>
                <w:rFonts w:hint="eastAsia" w:ascii="宋体" w:hAnsi="宋体" w:cs="宋体"/>
                <w:color w:val="000000"/>
                <w:kern w:val="0"/>
                <w:sz w:val="21"/>
                <w:szCs w:val="21"/>
                <w:highlight w:val="none"/>
                <w:lang w:val="en-US" w:eastAsia="zh-CN"/>
              </w:rPr>
              <w:t>09</w:t>
            </w:r>
            <w:r>
              <w:rPr>
                <w:rFonts w:hint="default" w:ascii="宋体" w:hAnsi="宋体" w:cs="宋体"/>
                <w:color w:val="000000"/>
                <w:kern w:val="0"/>
                <w:sz w:val="21"/>
                <w:szCs w:val="21"/>
                <w:highlight w:val="none"/>
                <w:lang w:val="en-US"/>
              </w:rPr>
              <w:t>)</w:t>
            </w:r>
          </w:p>
        </w:tc>
        <w:tc>
          <w:tcPr>
            <w:tcW w:w="531" w:type="dxa"/>
            <w:tcBorders>
              <w:top w:val="single" w:color="auto" w:sz="4" w:space="0"/>
              <w:left w:val="single" w:color="auto" w:sz="4" w:space="0"/>
              <w:bottom w:val="single" w:color="auto" w:sz="4" w:space="0"/>
              <w:right w:val="single" w:color="auto" w:sz="6" w:space="0"/>
            </w:tcBorders>
            <w:noWrap w:val="0"/>
            <w:vAlign w:val="center"/>
          </w:tcPr>
          <w:p w14:paraId="002AF23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5743CDE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669AE95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38F4806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40E73DF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240BEDE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31A1799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5782F93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558AFE6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270314A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4F06FA3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0FAF245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5868787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54BD99D8">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3E3C91E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42CA53C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职业道德与法治</w:t>
            </w:r>
          </w:p>
          <w:p w14:paraId="7B01577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104110)</w:t>
            </w:r>
          </w:p>
        </w:tc>
        <w:tc>
          <w:tcPr>
            <w:tcW w:w="531" w:type="dxa"/>
            <w:tcBorders>
              <w:top w:val="single" w:color="auto" w:sz="4" w:space="0"/>
              <w:left w:val="single" w:color="auto" w:sz="4" w:space="0"/>
              <w:bottom w:val="single" w:color="auto" w:sz="4" w:space="0"/>
              <w:right w:val="single" w:color="auto" w:sz="6" w:space="0"/>
            </w:tcBorders>
            <w:noWrap w:val="0"/>
            <w:vAlign w:val="center"/>
          </w:tcPr>
          <w:p w14:paraId="276BAF1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6C9C156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0F7721F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2A7BA8A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33D100E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316E440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1DC7C12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7E492ED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31339F7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05AA68A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62064F6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C6B59F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1DEDFC4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7535CC7A">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35BF0DD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6AB52B8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历史</w:t>
            </w: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w:t>
            </w:r>
            <w:r>
              <w:rPr>
                <w:rFonts w:hint="eastAsia" w:ascii="宋体" w:hAnsi="宋体" w:cs="宋体"/>
                <w:color w:val="000000"/>
                <w:kern w:val="0"/>
                <w:sz w:val="21"/>
                <w:szCs w:val="21"/>
                <w:highlight w:val="none"/>
                <w:lang w:val="en-US" w:eastAsia="zh-CN"/>
              </w:rPr>
              <w:t>06</w:t>
            </w:r>
            <w:r>
              <w:rPr>
                <w:rFonts w:hint="default" w:ascii="宋体" w:hAnsi="宋体" w:cs="宋体"/>
                <w:color w:val="000000"/>
                <w:kern w:val="0"/>
                <w:sz w:val="21"/>
                <w:szCs w:val="21"/>
                <w:highlight w:val="none"/>
                <w:lang w:val="en-US"/>
              </w:rPr>
              <w:t>)</w:t>
            </w:r>
          </w:p>
        </w:tc>
        <w:tc>
          <w:tcPr>
            <w:tcW w:w="531" w:type="dxa"/>
            <w:tcBorders>
              <w:top w:val="single" w:color="auto" w:sz="4" w:space="0"/>
              <w:left w:val="single" w:color="auto" w:sz="4" w:space="0"/>
              <w:bottom w:val="single" w:color="auto" w:sz="4" w:space="0"/>
              <w:right w:val="single" w:color="auto" w:sz="6" w:space="0"/>
            </w:tcBorders>
            <w:noWrap w:val="0"/>
            <w:vAlign w:val="center"/>
          </w:tcPr>
          <w:p w14:paraId="75AFC4A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2D762FC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72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0795A1D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72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5FB1668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58B911C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4</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3787C28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6F78B62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7C77C74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6C90509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67DA17C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45EDEB6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62061C2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1D889AF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23006D48">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679681E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117D18D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语文</w:t>
            </w: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w:t>
            </w:r>
            <w:r>
              <w:rPr>
                <w:rFonts w:hint="eastAsia" w:ascii="宋体" w:hAnsi="宋体" w:cs="宋体"/>
                <w:color w:val="000000"/>
                <w:kern w:val="0"/>
                <w:sz w:val="21"/>
                <w:szCs w:val="21"/>
                <w:highlight w:val="none"/>
                <w:lang w:val="en-US" w:eastAsia="zh-CN"/>
              </w:rPr>
              <w:t>03</w:t>
            </w:r>
            <w:r>
              <w:rPr>
                <w:rFonts w:hint="default" w:ascii="宋体" w:hAnsi="宋体" w:cs="宋体"/>
                <w:color w:val="000000"/>
                <w:kern w:val="0"/>
                <w:sz w:val="21"/>
                <w:szCs w:val="21"/>
                <w:highlight w:val="none"/>
                <w:lang w:val="en-US"/>
              </w:rPr>
              <w:t>)</w:t>
            </w:r>
          </w:p>
        </w:tc>
        <w:tc>
          <w:tcPr>
            <w:tcW w:w="531" w:type="dxa"/>
            <w:tcBorders>
              <w:top w:val="single" w:color="auto" w:sz="4" w:space="0"/>
              <w:left w:val="single" w:color="auto" w:sz="4" w:space="0"/>
              <w:bottom w:val="single" w:color="auto" w:sz="4" w:space="0"/>
              <w:right w:val="single" w:color="auto" w:sz="6" w:space="0"/>
            </w:tcBorders>
            <w:noWrap w:val="0"/>
            <w:vAlign w:val="center"/>
          </w:tcPr>
          <w:p w14:paraId="6976BAF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185E672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198</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40459A6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198</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7786306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14283D5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11</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67D1D6A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4/3/2</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36DDFE3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54A3498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4/18</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76F9CBA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3/18</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0631381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75326BC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2E5B955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5FEC92D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4EFBD54B">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1899557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245BC9F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数学</w:t>
            </w: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w:t>
            </w:r>
            <w:r>
              <w:rPr>
                <w:rFonts w:hint="eastAsia" w:ascii="宋体" w:hAnsi="宋体" w:cs="宋体"/>
                <w:color w:val="000000"/>
                <w:kern w:val="0"/>
                <w:sz w:val="21"/>
                <w:szCs w:val="21"/>
                <w:highlight w:val="none"/>
                <w:lang w:val="en-US" w:eastAsia="zh-CN"/>
              </w:rPr>
              <w:t>0</w:t>
            </w:r>
            <w:r>
              <w:rPr>
                <w:rFonts w:hint="default" w:ascii="宋体" w:hAnsi="宋体" w:cs="宋体"/>
                <w:color w:val="000000"/>
                <w:kern w:val="0"/>
                <w:sz w:val="21"/>
                <w:szCs w:val="21"/>
                <w:highlight w:val="none"/>
                <w:lang w:val="en-US"/>
              </w:rPr>
              <w:t>4)</w:t>
            </w:r>
          </w:p>
        </w:tc>
        <w:tc>
          <w:tcPr>
            <w:tcW w:w="531" w:type="dxa"/>
            <w:tcBorders>
              <w:top w:val="single" w:color="auto" w:sz="4" w:space="0"/>
              <w:left w:val="single" w:color="auto" w:sz="4" w:space="0"/>
              <w:bottom w:val="single" w:color="auto" w:sz="6" w:space="0"/>
              <w:right w:val="single" w:color="auto" w:sz="6" w:space="0"/>
            </w:tcBorders>
            <w:noWrap w:val="0"/>
            <w:vAlign w:val="center"/>
          </w:tcPr>
          <w:p w14:paraId="6086A91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6" w:space="0"/>
              <w:right w:val="single" w:color="auto" w:sz="6" w:space="0"/>
            </w:tcBorders>
            <w:noWrap w:val="0"/>
            <w:vAlign w:val="top"/>
          </w:tcPr>
          <w:p w14:paraId="44D6B65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144</w:t>
            </w:r>
          </w:p>
        </w:tc>
        <w:tc>
          <w:tcPr>
            <w:tcW w:w="567" w:type="dxa"/>
            <w:tcBorders>
              <w:top w:val="single" w:color="auto" w:sz="4" w:space="0"/>
              <w:left w:val="single" w:color="auto" w:sz="6" w:space="0"/>
              <w:bottom w:val="single" w:color="auto" w:sz="6" w:space="0"/>
              <w:right w:val="single" w:color="auto" w:sz="6" w:space="0"/>
            </w:tcBorders>
            <w:noWrap w:val="0"/>
            <w:vAlign w:val="top"/>
          </w:tcPr>
          <w:p w14:paraId="7E18FD2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144</w:t>
            </w:r>
          </w:p>
        </w:tc>
        <w:tc>
          <w:tcPr>
            <w:tcW w:w="567" w:type="dxa"/>
            <w:tcBorders>
              <w:top w:val="single" w:color="auto" w:sz="4" w:space="0"/>
              <w:left w:val="single" w:color="auto" w:sz="6" w:space="0"/>
              <w:bottom w:val="single" w:color="auto" w:sz="6" w:space="0"/>
              <w:right w:val="single" w:color="auto" w:sz="6" w:space="0"/>
            </w:tcBorders>
            <w:noWrap w:val="0"/>
            <w:vAlign w:val="center"/>
          </w:tcPr>
          <w:p w14:paraId="682ACAA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4" w:space="0"/>
              <w:left w:val="single" w:color="auto" w:sz="6" w:space="0"/>
              <w:bottom w:val="single" w:color="auto" w:sz="6" w:space="0"/>
              <w:right w:val="single" w:color="auto" w:sz="6" w:space="0"/>
            </w:tcBorders>
            <w:noWrap w:val="0"/>
            <w:vAlign w:val="center"/>
          </w:tcPr>
          <w:p w14:paraId="109D365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8</w:t>
            </w:r>
          </w:p>
        </w:tc>
        <w:tc>
          <w:tcPr>
            <w:tcW w:w="425" w:type="dxa"/>
            <w:tcBorders>
              <w:top w:val="single" w:color="auto" w:sz="4" w:space="0"/>
              <w:left w:val="single" w:color="auto" w:sz="6" w:space="0"/>
              <w:bottom w:val="single" w:color="auto" w:sz="6" w:space="0"/>
              <w:right w:val="single" w:color="auto" w:sz="6" w:space="0"/>
            </w:tcBorders>
            <w:noWrap w:val="0"/>
            <w:vAlign w:val="center"/>
          </w:tcPr>
          <w:p w14:paraId="3B268BB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6" w:space="0"/>
              <w:right w:val="single" w:color="auto" w:sz="6" w:space="0"/>
            </w:tcBorders>
            <w:noWrap w:val="0"/>
            <w:vAlign w:val="center"/>
          </w:tcPr>
          <w:p w14:paraId="590796A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522F861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5F50A43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599AFBF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4EF7EE4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710FB7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0436466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5A3FFFDC">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3FEC573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14:paraId="7BDFB8F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英语</w:t>
            </w: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w:t>
            </w:r>
            <w:r>
              <w:rPr>
                <w:rFonts w:hint="eastAsia" w:ascii="宋体" w:hAnsi="宋体" w:cs="宋体"/>
                <w:color w:val="000000"/>
                <w:kern w:val="0"/>
                <w:sz w:val="21"/>
                <w:szCs w:val="21"/>
                <w:highlight w:val="none"/>
                <w:lang w:val="en-US" w:eastAsia="zh-CN"/>
              </w:rPr>
              <w:t>05</w:t>
            </w:r>
            <w:r>
              <w:rPr>
                <w:rFonts w:hint="default" w:ascii="宋体" w:hAnsi="宋体" w:cs="宋体"/>
                <w:color w:val="000000"/>
                <w:kern w:val="0"/>
                <w:sz w:val="21"/>
                <w:szCs w:val="21"/>
                <w:highlight w:val="none"/>
                <w:lang w:val="en-US"/>
              </w:rPr>
              <w:t>)</w:t>
            </w:r>
          </w:p>
        </w:tc>
        <w:tc>
          <w:tcPr>
            <w:tcW w:w="531" w:type="dxa"/>
            <w:tcBorders>
              <w:top w:val="single" w:color="auto" w:sz="4" w:space="0"/>
              <w:left w:val="single" w:color="auto" w:sz="4" w:space="0"/>
              <w:bottom w:val="single" w:color="auto" w:sz="6" w:space="0"/>
              <w:right w:val="single" w:color="auto" w:sz="6" w:space="0"/>
            </w:tcBorders>
            <w:noWrap w:val="0"/>
            <w:vAlign w:val="center"/>
          </w:tcPr>
          <w:p w14:paraId="0F84906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6" w:space="0"/>
              <w:right w:val="single" w:color="auto" w:sz="6" w:space="0"/>
            </w:tcBorders>
            <w:noWrap w:val="0"/>
            <w:vAlign w:val="top"/>
          </w:tcPr>
          <w:p w14:paraId="7095F07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144</w:t>
            </w:r>
          </w:p>
        </w:tc>
        <w:tc>
          <w:tcPr>
            <w:tcW w:w="567" w:type="dxa"/>
            <w:tcBorders>
              <w:top w:val="single" w:color="auto" w:sz="4" w:space="0"/>
              <w:left w:val="single" w:color="auto" w:sz="6" w:space="0"/>
              <w:bottom w:val="single" w:color="auto" w:sz="6" w:space="0"/>
              <w:right w:val="single" w:color="auto" w:sz="6" w:space="0"/>
            </w:tcBorders>
            <w:noWrap w:val="0"/>
            <w:vAlign w:val="top"/>
          </w:tcPr>
          <w:p w14:paraId="660BD54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144</w:t>
            </w:r>
          </w:p>
        </w:tc>
        <w:tc>
          <w:tcPr>
            <w:tcW w:w="567" w:type="dxa"/>
            <w:tcBorders>
              <w:top w:val="single" w:color="auto" w:sz="4" w:space="0"/>
              <w:left w:val="single" w:color="auto" w:sz="6" w:space="0"/>
              <w:bottom w:val="single" w:color="auto" w:sz="6" w:space="0"/>
              <w:right w:val="single" w:color="auto" w:sz="6" w:space="0"/>
            </w:tcBorders>
            <w:noWrap w:val="0"/>
            <w:vAlign w:val="center"/>
          </w:tcPr>
          <w:p w14:paraId="1CE6D3F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4" w:space="0"/>
              <w:left w:val="single" w:color="auto" w:sz="6" w:space="0"/>
              <w:bottom w:val="single" w:color="auto" w:sz="6" w:space="0"/>
              <w:right w:val="single" w:color="auto" w:sz="6" w:space="0"/>
            </w:tcBorders>
            <w:noWrap w:val="0"/>
            <w:vAlign w:val="center"/>
          </w:tcPr>
          <w:p w14:paraId="191E225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8</w:t>
            </w:r>
          </w:p>
        </w:tc>
        <w:tc>
          <w:tcPr>
            <w:tcW w:w="425" w:type="dxa"/>
            <w:tcBorders>
              <w:top w:val="single" w:color="auto" w:sz="4" w:space="0"/>
              <w:left w:val="single" w:color="auto" w:sz="6" w:space="0"/>
              <w:bottom w:val="single" w:color="auto" w:sz="6" w:space="0"/>
              <w:right w:val="single" w:color="auto" w:sz="6" w:space="0"/>
            </w:tcBorders>
            <w:noWrap w:val="0"/>
            <w:vAlign w:val="center"/>
          </w:tcPr>
          <w:p w14:paraId="493D61A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4" w:space="0"/>
              <w:left w:val="single" w:color="auto" w:sz="6" w:space="0"/>
              <w:bottom w:val="single" w:color="auto" w:sz="6" w:space="0"/>
              <w:right w:val="single" w:color="auto" w:sz="6" w:space="0"/>
            </w:tcBorders>
            <w:noWrap w:val="0"/>
            <w:vAlign w:val="center"/>
          </w:tcPr>
          <w:p w14:paraId="1565990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249C6A3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6E7E8C4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12BA3BF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4353B5B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ED77AD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38DCE0F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427B0512">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31009CC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4" w:space="0"/>
              <w:left w:val="single" w:color="auto" w:sz="4" w:space="0"/>
              <w:bottom w:val="single" w:color="auto" w:sz="6" w:space="0"/>
              <w:right w:val="single" w:color="auto" w:sz="4" w:space="0"/>
            </w:tcBorders>
            <w:noWrap w:val="0"/>
            <w:vAlign w:val="center"/>
          </w:tcPr>
          <w:p w14:paraId="3C973BA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体育与健康</w:t>
            </w:r>
          </w:p>
          <w:p w14:paraId="75390A0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104112)</w:t>
            </w:r>
          </w:p>
        </w:tc>
        <w:tc>
          <w:tcPr>
            <w:tcW w:w="531" w:type="dxa"/>
            <w:tcBorders>
              <w:top w:val="single" w:color="auto" w:sz="6" w:space="0"/>
              <w:left w:val="single" w:color="auto" w:sz="4" w:space="0"/>
              <w:bottom w:val="single" w:color="auto" w:sz="6" w:space="0"/>
              <w:right w:val="single" w:color="auto" w:sz="6" w:space="0"/>
            </w:tcBorders>
            <w:noWrap w:val="0"/>
            <w:vAlign w:val="center"/>
          </w:tcPr>
          <w:p w14:paraId="37FEF3D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58A8DDE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144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3AAEAA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067CF2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144</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324804F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8</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01D827B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4E3C52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6B722FE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6CC43CB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2BB077D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5FD60B0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20D8FF9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6E111CD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02799F70">
        <w:tblPrEx>
          <w:tblCellMar>
            <w:top w:w="0" w:type="dxa"/>
            <w:left w:w="56" w:type="dxa"/>
            <w:bottom w:w="0" w:type="dxa"/>
            <w:right w:w="56" w:type="dxa"/>
          </w:tblCellMar>
        </w:tblPrEx>
        <w:trPr>
          <w:cantSplit/>
          <w:trHeight w:val="469"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3853E8C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4" w:space="0"/>
            </w:tcBorders>
            <w:noWrap w:val="0"/>
            <w:vAlign w:val="center"/>
          </w:tcPr>
          <w:p w14:paraId="7D0C9C9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highlight w:val="yellow"/>
                <w:lang w:val="zh-CN"/>
              </w:rPr>
            </w:pPr>
            <w:r>
              <w:rPr>
                <w:rFonts w:hint="eastAsia" w:ascii="宋体" w:hAnsi="宋体" w:eastAsia="宋体" w:cs="宋体"/>
                <w:color w:val="000000"/>
                <w:kern w:val="0"/>
                <w:sz w:val="21"/>
                <w:szCs w:val="21"/>
                <w:highlight w:val="yellow"/>
                <w:lang w:val="zh-CN"/>
              </w:rPr>
              <w:t>信息技术（含AI）</w:t>
            </w:r>
          </w:p>
          <w:p w14:paraId="38758F56">
            <w:pPr>
              <w:keepNext w:val="0"/>
              <w:keepLines w:val="0"/>
              <w:pageBreakBefore w:val="0"/>
              <w:wordWrap/>
              <w:overflowPunct/>
              <w:topLinePunct w:val="0"/>
              <w:autoSpaceDE w:val="0"/>
              <w:autoSpaceDN w:val="0"/>
              <w:bidi w:val="0"/>
              <w:adjustRightInd w:val="0"/>
              <w:snapToGrid w:val="0"/>
              <w:spacing w:line="440" w:lineRule="exact"/>
              <w:jc w:val="center"/>
              <w:rPr>
                <w:rFonts w:hint="default" w:ascii="宋体" w:hAnsi="宋体" w:eastAsia="宋体" w:cs="宋体"/>
                <w:color w:val="000000"/>
                <w:kern w:val="0"/>
                <w:sz w:val="21"/>
                <w:szCs w:val="21"/>
                <w:highlight w:val="yellow"/>
                <w:lang w:val="en-US"/>
              </w:rPr>
            </w:pPr>
            <w:r>
              <w:rPr>
                <w:rFonts w:hint="default" w:ascii="宋体" w:hAnsi="宋体" w:cs="宋体"/>
                <w:color w:val="000000"/>
                <w:kern w:val="0"/>
                <w:sz w:val="21"/>
                <w:szCs w:val="21"/>
                <w:highlight w:val="yellow"/>
                <w:lang w:val="en-US"/>
              </w:rPr>
              <w:t>(Y</w:t>
            </w:r>
            <w:r>
              <w:rPr>
                <w:rFonts w:hint="eastAsia" w:ascii="宋体" w:hAnsi="宋体" w:eastAsia="宋体" w:cs="宋体"/>
                <w:color w:val="000000"/>
                <w:kern w:val="0"/>
                <w:sz w:val="21"/>
                <w:szCs w:val="21"/>
                <w:highlight w:val="yellow"/>
                <w:lang w:val="zh-CN"/>
              </w:rPr>
              <w:t>0</w:t>
            </w:r>
            <w:r>
              <w:rPr>
                <w:rFonts w:hint="default" w:ascii="宋体" w:hAnsi="宋体" w:cs="宋体"/>
                <w:color w:val="000000"/>
                <w:kern w:val="0"/>
                <w:sz w:val="21"/>
                <w:szCs w:val="21"/>
                <w:highlight w:val="yellow"/>
                <w:lang w:val="en-US"/>
              </w:rPr>
              <w:t>104113)</w:t>
            </w:r>
          </w:p>
        </w:tc>
        <w:tc>
          <w:tcPr>
            <w:tcW w:w="531" w:type="dxa"/>
            <w:tcBorders>
              <w:top w:val="single" w:color="auto" w:sz="6" w:space="0"/>
              <w:left w:val="single" w:color="auto" w:sz="4" w:space="0"/>
              <w:bottom w:val="single" w:color="auto" w:sz="6" w:space="0"/>
              <w:right w:val="single" w:color="auto" w:sz="6" w:space="0"/>
            </w:tcBorders>
            <w:noWrap w:val="0"/>
            <w:vAlign w:val="center"/>
          </w:tcPr>
          <w:p w14:paraId="6805BF9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kern w:val="0"/>
                <w:sz w:val="21"/>
                <w:szCs w:val="21"/>
                <w:highlight w:val="yellow"/>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5E95F10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108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7210B9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kern w:val="0"/>
                <w:sz w:val="21"/>
                <w:szCs w:val="21"/>
                <w:highlight w:val="yellow"/>
                <w:lang w:val="zh-CN"/>
              </w:rPr>
              <w:t>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52ED1BA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108</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5D7D394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15EB408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kern w:val="0"/>
                <w:sz w:val="21"/>
                <w:szCs w:val="21"/>
                <w:highlight w:val="yellow"/>
                <w:lang w:val="zh-CN"/>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5E80CB8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kern w:val="0"/>
                <w:sz w:val="21"/>
                <w:szCs w:val="21"/>
                <w:highlight w:val="yellow"/>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055EE69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kern w:val="0"/>
                <w:sz w:val="21"/>
                <w:szCs w:val="21"/>
                <w:highlight w:val="yellow"/>
                <w:lang w:val="zh-CN"/>
              </w:rPr>
              <w:t>2/18</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4EAD739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2/18</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390429A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2/18</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3EF1271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5D21A4B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highlight w:val="yellow"/>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6F8303F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highlight w:val="yellow"/>
                <w:lang w:val="zh-CN"/>
              </w:rPr>
            </w:pPr>
          </w:p>
        </w:tc>
      </w:tr>
      <w:tr w14:paraId="4B0F36EC">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010A3BA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4" w:space="0"/>
            </w:tcBorders>
            <w:noWrap w:val="0"/>
            <w:vAlign w:val="center"/>
          </w:tcPr>
          <w:p w14:paraId="7C475A6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艺术（音乐、美术）</w:t>
            </w:r>
          </w:p>
          <w:p w14:paraId="020848D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default" w:ascii="宋体" w:hAnsi="宋体" w:cs="宋体"/>
                <w:color w:val="000000"/>
                <w:kern w:val="0"/>
                <w:sz w:val="21"/>
                <w:szCs w:val="21"/>
                <w:highlight w:val="none"/>
                <w:lang w:val="en-US"/>
              </w:rPr>
              <w:t>104111)</w:t>
            </w:r>
          </w:p>
        </w:tc>
        <w:tc>
          <w:tcPr>
            <w:tcW w:w="531" w:type="dxa"/>
            <w:tcBorders>
              <w:top w:val="single" w:color="auto" w:sz="6" w:space="0"/>
              <w:left w:val="single" w:color="auto" w:sz="4" w:space="0"/>
              <w:bottom w:val="single" w:color="auto" w:sz="6" w:space="0"/>
              <w:right w:val="single" w:color="auto" w:sz="6" w:space="0"/>
            </w:tcBorders>
            <w:noWrap w:val="0"/>
            <w:vAlign w:val="center"/>
          </w:tcPr>
          <w:p w14:paraId="1085D6F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35D0BE0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CDBCF3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36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FFA069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45B74AE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0F51F64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4DB89B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34A4C60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78A5173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2/18</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530961A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4635E96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3527A31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67445F9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1900E26F">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3968409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4" w:space="0"/>
            </w:tcBorders>
            <w:noWrap w:val="0"/>
            <w:vAlign w:val="center"/>
          </w:tcPr>
          <w:p w14:paraId="721199C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中华优秀传统文化</w:t>
            </w:r>
          </w:p>
          <w:p w14:paraId="7583FF2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eastAsia" w:ascii="宋体" w:hAnsi="宋体" w:eastAsia="宋体" w:cs="宋体"/>
                <w:color w:val="000000"/>
                <w:kern w:val="0"/>
                <w:sz w:val="21"/>
                <w:szCs w:val="21"/>
                <w:highlight w:val="none"/>
                <w:lang w:val="en-US" w:eastAsia="zh-CN"/>
              </w:rPr>
              <w:t>2</w:t>
            </w:r>
            <w:r>
              <w:rPr>
                <w:rFonts w:hint="default" w:ascii="宋体" w:hAnsi="宋体" w:cs="宋体"/>
                <w:color w:val="000000"/>
                <w:kern w:val="0"/>
                <w:sz w:val="21"/>
                <w:szCs w:val="21"/>
                <w:highlight w:val="none"/>
                <w:lang w:val="en-US"/>
              </w:rPr>
              <w:t>041</w:t>
            </w:r>
            <w:r>
              <w:rPr>
                <w:rFonts w:hint="eastAsia" w:ascii="宋体" w:hAnsi="宋体" w:cs="宋体"/>
                <w:color w:val="000000"/>
                <w:kern w:val="0"/>
                <w:sz w:val="21"/>
                <w:szCs w:val="21"/>
                <w:highlight w:val="none"/>
                <w:lang w:val="en-US" w:eastAsia="zh-CN"/>
              </w:rPr>
              <w:t>03</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4" w:space="0"/>
              <w:bottom w:val="single" w:color="auto" w:sz="6" w:space="0"/>
              <w:right w:val="single" w:color="auto" w:sz="6" w:space="0"/>
            </w:tcBorders>
            <w:noWrap w:val="0"/>
            <w:vAlign w:val="center"/>
          </w:tcPr>
          <w:p w14:paraId="1852802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5D0393D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82ED8F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9CD5F9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33D278F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659BD33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8CF0B2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7729F78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2/9</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129E3F0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6A7CE88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3DA97EC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2F86DD3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3DF8365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0DFA54B2">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4137DDC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4" w:space="0"/>
            </w:tcBorders>
            <w:noWrap w:val="0"/>
            <w:vAlign w:val="center"/>
          </w:tcPr>
          <w:p w14:paraId="04F1087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职业素养</w:t>
            </w:r>
          </w:p>
          <w:p w14:paraId="25D2351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default" w:ascii="宋体" w:hAnsi="宋体" w:cs="宋体"/>
                <w:color w:val="000000"/>
                <w:kern w:val="0"/>
                <w:sz w:val="21"/>
                <w:szCs w:val="21"/>
                <w:highlight w:val="none"/>
                <w:lang w:val="en-US"/>
              </w:rPr>
              <w:t>(Y</w:t>
            </w:r>
            <w:r>
              <w:rPr>
                <w:rFonts w:hint="eastAsia" w:ascii="宋体" w:hAnsi="宋体" w:eastAsia="宋体" w:cs="宋体"/>
                <w:color w:val="000000"/>
                <w:kern w:val="0"/>
                <w:sz w:val="21"/>
                <w:szCs w:val="21"/>
                <w:highlight w:val="none"/>
                <w:lang w:val="zh-CN"/>
              </w:rPr>
              <w:t>0</w:t>
            </w:r>
            <w:r>
              <w:rPr>
                <w:rFonts w:hint="eastAsia" w:ascii="宋体" w:hAnsi="宋体" w:eastAsia="宋体" w:cs="宋体"/>
                <w:color w:val="000000"/>
                <w:kern w:val="0"/>
                <w:sz w:val="21"/>
                <w:szCs w:val="21"/>
                <w:highlight w:val="none"/>
                <w:lang w:val="en-US" w:eastAsia="zh-CN"/>
              </w:rPr>
              <w:t>2</w:t>
            </w:r>
            <w:r>
              <w:rPr>
                <w:rFonts w:hint="default" w:ascii="宋体" w:hAnsi="宋体" w:cs="宋体"/>
                <w:color w:val="000000"/>
                <w:kern w:val="0"/>
                <w:sz w:val="21"/>
                <w:szCs w:val="21"/>
                <w:highlight w:val="none"/>
                <w:lang w:val="en-US"/>
              </w:rPr>
              <w:t>041</w:t>
            </w:r>
            <w:r>
              <w:rPr>
                <w:rFonts w:hint="eastAsia" w:ascii="宋体" w:hAnsi="宋体" w:cs="宋体"/>
                <w:color w:val="000000"/>
                <w:kern w:val="0"/>
                <w:sz w:val="21"/>
                <w:szCs w:val="21"/>
                <w:highlight w:val="none"/>
                <w:lang w:val="en-US" w:eastAsia="zh-CN"/>
              </w:rPr>
              <w:t>01</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4" w:space="0"/>
              <w:bottom w:val="single" w:color="auto" w:sz="6" w:space="0"/>
              <w:right w:val="single" w:color="auto" w:sz="6" w:space="0"/>
            </w:tcBorders>
            <w:noWrap w:val="0"/>
            <w:vAlign w:val="center"/>
          </w:tcPr>
          <w:p w14:paraId="1B3B3BE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4E19FBE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EFCAEC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B0AB3A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0</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1B8B9DD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1</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5B3B79C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2CE97B9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7864FD9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2/9</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43C5042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6245856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0BE3B82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2E0967D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49E5238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7396E0B2">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4591DD0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2404" w:type="dxa"/>
            <w:gridSpan w:val="2"/>
            <w:tcBorders>
              <w:top w:val="single" w:color="auto" w:sz="6" w:space="0"/>
              <w:left w:val="single" w:color="auto" w:sz="4" w:space="0"/>
              <w:bottom w:val="single" w:color="auto" w:sz="4" w:space="0"/>
              <w:right w:val="single" w:color="auto" w:sz="6" w:space="0"/>
            </w:tcBorders>
            <w:noWrap w:val="0"/>
            <w:vAlign w:val="center"/>
          </w:tcPr>
          <w:p w14:paraId="47587B5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小计</w:t>
            </w:r>
          </w:p>
        </w:tc>
        <w:tc>
          <w:tcPr>
            <w:tcW w:w="606" w:type="dxa"/>
            <w:tcBorders>
              <w:top w:val="single" w:color="auto" w:sz="6" w:space="0"/>
              <w:left w:val="single" w:color="auto" w:sz="6" w:space="0"/>
              <w:bottom w:val="single" w:color="auto" w:sz="4" w:space="0"/>
              <w:right w:val="single" w:color="auto" w:sz="6" w:space="0"/>
            </w:tcBorders>
            <w:noWrap w:val="0"/>
            <w:vAlign w:val="center"/>
          </w:tcPr>
          <w:p w14:paraId="73A4DD32">
            <w:pPr>
              <w:keepNext w:val="0"/>
              <w:keepLines w:val="0"/>
              <w:pageBreakBefore w:val="0"/>
              <w:widowControl/>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1026</w:t>
            </w:r>
          </w:p>
        </w:tc>
        <w:tc>
          <w:tcPr>
            <w:tcW w:w="567" w:type="dxa"/>
            <w:tcBorders>
              <w:top w:val="single" w:color="auto" w:sz="6" w:space="0"/>
              <w:left w:val="single" w:color="auto" w:sz="6" w:space="0"/>
              <w:bottom w:val="single" w:color="auto" w:sz="4" w:space="0"/>
              <w:right w:val="single" w:color="auto" w:sz="6" w:space="0"/>
            </w:tcBorders>
            <w:noWrap w:val="0"/>
            <w:vAlign w:val="center"/>
          </w:tcPr>
          <w:p w14:paraId="713CC46D">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774</w:t>
            </w:r>
          </w:p>
        </w:tc>
        <w:tc>
          <w:tcPr>
            <w:tcW w:w="567" w:type="dxa"/>
            <w:tcBorders>
              <w:top w:val="single" w:color="auto" w:sz="6" w:space="0"/>
              <w:left w:val="single" w:color="auto" w:sz="6" w:space="0"/>
              <w:bottom w:val="single" w:color="auto" w:sz="4" w:space="0"/>
              <w:right w:val="single" w:color="auto" w:sz="6" w:space="0"/>
            </w:tcBorders>
            <w:noWrap w:val="0"/>
            <w:vAlign w:val="center"/>
          </w:tcPr>
          <w:p w14:paraId="40C264E6">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252</w:t>
            </w:r>
          </w:p>
        </w:tc>
        <w:tc>
          <w:tcPr>
            <w:tcW w:w="425" w:type="dxa"/>
            <w:tcBorders>
              <w:top w:val="single" w:color="auto" w:sz="6" w:space="0"/>
              <w:left w:val="single" w:color="auto" w:sz="6" w:space="0"/>
              <w:bottom w:val="single" w:color="auto" w:sz="4" w:space="0"/>
              <w:right w:val="single" w:color="auto" w:sz="6" w:space="0"/>
            </w:tcBorders>
            <w:noWrap w:val="0"/>
            <w:vAlign w:val="center"/>
          </w:tcPr>
          <w:p w14:paraId="5B71247E">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57</w:t>
            </w:r>
          </w:p>
        </w:tc>
        <w:tc>
          <w:tcPr>
            <w:tcW w:w="425" w:type="dxa"/>
            <w:tcBorders>
              <w:top w:val="single" w:color="auto" w:sz="6" w:space="0"/>
              <w:left w:val="single" w:color="auto" w:sz="6" w:space="0"/>
              <w:bottom w:val="single" w:color="auto" w:sz="4" w:space="0"/>
              <w:right w:val="single" w:color="auto" w:sz="6" w:space="0"/>
            </w:tcBorders>
            <w:noWrap w:val="0"/>
            <w:vAlign w:val="center"/>
          </w:tcPr>
          <w:p w14:paraId="5E15E09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4" w:space="0"/>
              <w:right w:val="single" w:color="auto" w:sz="6" w:space="0"/>
            </w:tcBorders>
            <w:noWrap w:val="0"/>
            <w:vAlign w:val="center"/>
          </w:tcPr>
          <w:p w14:paraId="661E6B8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c>
          <w:tcPr>
            <w:tcW w:w="611" w:type="dxa"/>
            <w:tcBorders>
              <w:top w:val="single" w:color="auto" w:sz="6" w:space="0"/>
              <w:left w:val="single" w:color="auto" w:sz="6" w:space="0"/>
              <w:bottom w:val="single" w:color="auto" w:sz="4" w:space="0"/>
              <w:right w:val="single" w:color="auto" w:sz="6" w:space="0"/>
            </w:tcBorders>
            <w:noWrap w:val="0"/>
            <w:vAlign w:val="center"/>
          </w:tcPr>
          <w:p w14:paraId="1090C10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zh-CN"/>
              </w:rPr>
              <w:t>18</w:t>
            </w:r>
          </w:p>
        </w:tc>
        <w:tc>
          <w:tcPr>
            <w:tcW w:w="709" w:type="dxa"/>
            <w:tcBorders>
              <w:top w:val="single" w:color="auto" w:sz="6" w:space="0"/>
              <w:left w:val="single" w:color="auto" w:sz="6" w:space="0"/>
              <w:bottom w:val="single" w:color="auto" w:sz="4" w:space="0"/>
              <w:right w:val="single" w:color="auto" w:sz="6" w:space="0"/>
            </w:tcBorders>
            <w:noWrap w:val="0"/>
            <w:vAlign w:val="center"/>
          </w:tcPr>
          <w:p w14:paraId="6386E39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zh-CN"/>
              </w:rPr>
              <w:t>17</w:t>
            </w:r>
          </w:p>
        </w:tc>
        <w:tc>
          <w:tcPr>
            <w:tcW w:w="610" w:type="dxa"/>
            <w:tcBorders>
              <w:top w:val="single" w:color="auto" w:sz="6" w:space="0"/>
              <w:left w:val="single" w:color="auto" w:sz="6" w:space="0"/>
              <w:bottom w:val="single" w:color="auto" w:sz="4" w:space="0"/>
              <w:right w:val="single" w:color="auto" w:sz="6" w:space="0"/>
            </w:tcBorders>
            <w:noWrap w:val="0"/>
            <w:vAlign w:val="center"/>
          </w:tcPr>
          <w:p w14:paraId="21058C1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zh-CN"/>
              </w:rPr>
              <w:t>12</w:t>
            </w:r>
          </w:p>
        </w:tc>
        <w:tc>
          <w:tcPr>
            <w:tcW w:w="524" w:type="dxa"/>
            <w:tcBorders>
              <w:top w:val="single" w:color="auto" w:sz="6" w:space="0"/>
              <w:left w:val="single" w:color="auto" w:sz="6" w:space="0"/>
              <w:bottom w:val="single" w:color="auto" w:sz="4" w:space="0"/>
              <w:right w:val="single" w:color="auto" w:sz="6" w:space="0"/>
            </w:tcBorders>
            <w:noWrap w:val="0"/>
            <w:vAlign w:val="center"/>
          </w:tcPr>
          <w:p w14:paraId="19C88AEB">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zh-CN"/>
              </w:rPr>
              <w:t>10</w:t>
            </w:r>
          </w:p>
        </w:tc>
        <w:tc>
          <w:tcPr>
            <w:tcW w:w="567" w:type="dxa"/>
            <w:tcBorders>
              <w:top w:val="single" w:color="auto" w:sz="6" w:space="0"/>
              <w:left w:val="single" w:color="auto" w:sz="6" w:space="0"/>
              <w:bottom w:val="single" w:color="auto" w:sz="4" w:space="0"/>
              <w:right w:val="single" w:color="auto" w:sz="6" w:space="0"/>
            </w:tcBorders>
            <w:noWrap w:val="0"/>
            <w:vAlign w:val="center"/>
          </w:tcPr>
          <w:p w14:paraId="32EF762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0</w:t>
            </w:r>
          </w:p>
        </w:tc>
        <w:tc>
          <w:tcPr>
            <w:tcW w:w="539" w:type="dxa"/>
            <w:tcBorders>
              <w:top w:val="single" w:color="auto" w:sz="6" w:space="0"/>
              <w:left w:val="single" w:color="auto" w:sz="6" w:space="0"/>
              <w:bottom w:val="single" w:color="auto" w:sz="4" w:space="0"/>
              <w:right w:val="single" w:color="auto" w:sz="6" w:space="0"/>
            </w:tcBorders>
            <w:noWrap w:val="0"/>
            <w:vAlign w:val="center"/>
          </w:tcPr>
          <w:p w14:paraId="059F06A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sz w:val="21"/>
                <w:szCs w:val="21"/>
              </w:rPr>
            </w:pPr>
          </w:p>
        </w:tc>
      </w:tr>
      <w:tr w14:paraId="4EBD79B0">
        <w:tblPrEx>
          <w:tblCellMar>
            <w:top w:w="0" w:type="dxa"/>
            <w:left w:w="56" w:type="dxa"/>
            <w:bottom w:w="0" w:type="dxa"/>
            <w:right w:w="56" w:type="dxa"/>
          </w:tblCellMar>
        </w:tblPrEx>
        <w:trPr>
          <w:cantSplit/>
          <w:trHeight w:val="287" w:hRule="atLeast"/>
          <w:jc w:val="center"/>
        </w:trPr>
        <w:tc>
          <w:tcPr>
            <w:tcW w:w="527" w:type="dxa"/>
            <w:vMerge w:val="restart"/>
            <w:tcBorders>
              <w:top w:val="single" w:color="auto" w:sz="4" w:space="0"/>
              <w:left w:val="single" w:color="auto" w:sz="4" w:space="0"/>
              <w:bottom w:val="single" w:color="auto" w:sz="4" w:space="0"/>
              <w:right w:val="single" w:color="auto" w:sz="4" w:space="0"/>
            </w:tcBorders>
            <w:noWrap w:val="0"/>
            <w:vAlign w:val="center"/>
          </w:tcPr>
          <w:p w14:paraId="03E31E1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zh-CN"/>
              </w:rPr>
              <w:t>专业</w:t>
            </w:r>
            <w:r>
              <w:rPr>
                <w:rFonts w:hint="eastAsia" w:ascii="宋体" w:hAnsi="宋体" w:eastAsia="宋体" w:cs="宋体"/>
                <w:color w:val="000000"/>
                <w:kern w:val="0"/>
                <w:sz w:val="21"/>
                <w:szCs w:val="21"/>
              </w:rPr>
              <w:t>课程</w:t>
            </w:r>
          </w:p>
        </w:tc>
        <w:tc>
          <w:tcPr>
            <w:tcW w:w="1873" w:type="dxa"/>
            <w:tcBorders>
              <w:top w:val="single" w:color="auto" w:sz="4" w:space="0"/>
              <w:left w:val="single" w:color="auto" w:sz="4" w:space="0"/>
              <w:bottom w:val="single" w:color="auto" w:sz="4" w:space="0"/>
              <w:right w:val="single" w:color="auto" w:sz="6" w:space="0"/>
            </w:tcBorders>
            <w:noWrap w:val="0"/>
            <w:vAlign w:val="center"/>
          </w:tcPr>
          <w:p w14:paraId="1F775AA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物理</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051101</w:t>
            </w:r>
            <w:r>
              <w:rPr>
                <w:rFonts w:hint="default" w:ascii="宋体" w:hAnsi="宋体" w:cs="宋体"/>
                <w:color w:val="000000"/>
                <w:kern w:val="0"/>
                <w:sz w:val="21"/>
                <w:szCs w:val="21"/>
                <w:highlight w:val="none"/>
                <w:lang w:val="en-US"/>
              </w:rPr>
              <w:t>)</w:t>
            </w:r>
          </w:p>
        </w:tc>
        <w:tc>
          <w:tcPr>
            <w:tcW w:w="531" w:type="dxa"/>
            <w:tcBorders>
              <w:top w:val="single" w:color="auto" w:sz="4" w:space="0"/>
              <w:left w:val="single" w:color="auto" w:sz="6" w:space="0"/>
              <w:bottom w:val="single" w:color="auto" w:sz="4" w:space="0"/>
              <w:right w:val="single" w:color="auto" w:sz="6" w:space="0"/>
            </w:tcBorders>
            <w:noWrap w:val="0"/>
            <w:vAlign w:val="center"/>
          </w:tcPr>
          <w:p w14:paraId="5C99BAE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4" w:space="0"/>
              <w:left w:val="single" w:color="auto" w:sz="6" w:space="0"/>
              <w:bottom w:val="single" w:color="auto" w:sz="4" w:space="0"/>
              <w:right w:val="single" w:color="auto" w:sz="6" w:space="0"/>
            </w:tcBorders>
            <w:noWrap w:val="0"/>
            <w:vAlign w:val="center"/>
          </w:tcPr>
          <w:p w14:paraId="1AC9A386">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54</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44D0731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27</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44A06D9B">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27</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51C2AB4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425" w:type="dxa"/>
            <w:tcBorders>
              <w:top w:val="single" w:color="auto" w:sz="4" w:space="0"/>
              <w:left w:val="single" w:color="auto" w:sz="6" w:space="0"/>
              <w:bottom w:val="single" w:color="auto" w:sz="4" w:space="0"/>
              <w:right w:val="single" w:color="auto" w:sz="6" w:space="0"/>
            </w:tcBorders>
            <w:noWrap w:val="0"/>
            <w:vAlign w:val="center"/>
          </w:tcPr>
          <w:p w14:paraId="75C01D7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567" w:type="dxa"/>
            <w:tcBorders>
              <w:top w:val="single" w:color="auto" w:sz="4" w:space="0"/>
              <w:left w:val="single" w:color="auto" w:sz="6" w:space="0"/>
              <w:bottom w:val="single" w:color="auto" w:sz="4" w:space="0"/>
              <w:right w:val="single" w:color="auto" w:sz="6" w:space="0"/>
            </w:tcBorders>
            <w:noWrap w:val="0"/>
            <w:vAlign w:val="center"/>
          </w:tcPr>
          <w:p w14:paraId="2A4C1F2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考查</w:t>
            </w:r>
          </w:p>
        </w:tc>
        <w:tc>
          <w:tcPr>
            <w:tcW w:w="611" w:type="dxa"/>
            <w:tcBorders>
              <w:top w:val="single" w:color="auto" w:sz="4" w:space="0"/>
              <w:left w:val="single" w:color="auto" w:sz="6" w:space="0"/>
              <w:bottom w:val="single" w:color="auto" w:sz="4" w:space="0"/>
              <w:right w:val="single" w:color="auto" w:sz="6" w:space="0"/>
            </w:tcBorders>
            <w:noWrap w:val="0"/>
            <w:vAlign w:val="center"/>
          </w:tcPr>
          <w:p w14:paraId="1E9CA0AB">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3</w:t>
            </w:r>
          </w:p>
        </w:tc>
        <w:tc>
          <w:tcPr>
            <w:tcW w:w="709" w:type="dxa"/>
            <w:tcBorders>
              <w:top w:val="single" w:color="auto" w:sz="4" w:space="0"/>
              <w:left w:val="single" w:color="auto" w:sz="6" w:space="0"/>
              <w:bottom w:val="single" w:color="auto" w:sz="4" w:space="0"/>
              <w:right w:val="single" w:color="auto" w:sz="6" w:space="0"/>
            </w:tcBorders>
            <w:noWrap w:val="0"/>
            <w:vAlign w:val="center"/>
          </w:tcPr>
          <w:p w14:paraId="04D7A679">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610" w:type="dxa"/>
            <w:tcBorders>
              <w:top w:val="single" w:color="auto" w:sz="4" w:space="0"/>
              <w:left w:val="single" w:color="auto" w:sz="6" w:space="0"/>
              <w:bottom w:val="single" w:color="auto" w:sz="4" w:space="0"/>
              <w:right w:val="single" w:color="auto" w:sz="6" w:space="0"/>
            </w:tcBorders>
            <w:noWrap w:val="0"/>
            <w:vAlign w:val="center"/>
          </w:tcPr>
          <w:p w14:paraId="6A2F608B">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24" w:type="dxa"/>
            <w:tcBorders>
              <w:top w:val="single" w:color="auto" w:sz="4" w:space="0"/>
              <w:left w:val="single" w:color="auto" w:sz="6" w:space="0"/>
              <w:bottom w:val="single" w:color="auto" w:sz="4" w:space="0"/>
              <w:right w:val="single" w:color="auto" w:sz="6" w:space="0"/>
            </w:tcBorders>
            <w:noWrap w:val="0"/>
            <w:vAlign w:val="center"/>
          </w:tcPr>
          <w:p w14:paraId="6EA01E73">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67" w:type="dxa"/>
            <w:tcBorders>
              <w:top w:val="single" w:color="auto" w:sz="4" w:space="0"/>
              <w:left w:val="single" w:color="auto" w:sz="6" w:space="0"/>
              <w:bottom w:val="single" w:color="auto" w:sz="4" w:space="0"/>
              <w:right w:val="single" w:color="auto" w:sz="6" w:space="0"/>
            </w:tcBorders>
            <w:noWrap w:val="0"/>
            <w:vAlign w:val="center"/>
          </w:tcPr>
          <w:p w14:paraId="6D3CB4AB">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4" w:space="0"/>
              <w:left w:val="single" w:color="auto" w:sz="6" w:space="0"/>
              <w:bottom w:val="single" w:color="auto" w:sz="4" w:space="0"/>
              <w:right w:val="single" w:color="auto" w:sz="4" w:space="0"/>
            </w:tcBorders>
            <w:noWrap w:val="0"/>
            <w:vAlign w:val="center"/>
          </w:tcPr>
          <w:p w14:paraId="073B9B0D">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r>
      <w:tr w14:paraId="79D1E531">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76822E2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3D63F16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食品营养与健康</w:t>
            </w:r>
          </w:p>
          <w:p w14:paraId="1A2BC5F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051102</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7E4D520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6822DCD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8CF2046">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A0CE51B">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5499F9D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2485B0E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E3D1B5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FF"/>
                <w:kern w:val="0"/>
                <w:sz w:val="21"/>
                <w:szCs w:val="21"/>
                <w:lang w:val="en-US" w:eastAsia="zh-CN" w:bidi="ar-SA"/>
              </w:rPr>
            </w:pPr>
            <w:r>
              <w:rPr>
                <w:rFonts w:hint="eastAsia" w:ascii="宋体" w:hAnsi="宋体" w:eastAsia="宋体" w:cs="宋体"/>
                <w:i w:val="0"/>
                <w:iCs w:val="0"/>
                <w:color w:val="0000FF"/>
                <w:kern w:val="0"/>
                <w:sz w:val="21"/>
                <w:szCs w:val="21"/>
                <w:u w:val="none"/>
                <w:lang w:val="en-US" w:eastAsia="zh-CN" w:bidi="ar"/>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6B53855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2D641509">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7D0DA404">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en-US" w:eastAsia="zh-CN" w:bidi="ar-SA"/>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07A9F60C">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1E8B344B">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55C5293A">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4E7AA33B">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31FE0C6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617833E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化学</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051103</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2738A70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4E737E9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144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9CD72B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DFD61C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72</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106BEF4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8</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4D7F4176">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DA2D1DE">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FF"/>
                <w:kern w:val="0"/>
                <w:sz w:val="21"/>
                <w:szCs w:val="21"/>
                <w:lang w:val="zh-CN" w:eastAsia="zh-CN" w:bidi="ar-SA"/>
              </w:rPr>
            </w:pPr>
            <w:r>
              <w:rPr>
                <w:rFonts w:hint="eastAsia" w:ascii="宋体" w:hAnsi="宋体" w:eastAsia="宋体" w:cs="宋体"/>
                <w:i w:val="0"/>
                <w:iCs w:val="0"/>
                <w:color w:val="0000FF"/>
                <w:kern w:val="0"/>
                <w:sz w:val="21"/>
                <w:szCs w:val="21"/>
                <w:u w:val="none"/>
                <w:lang w:val="en-US" w:eastAsia="zh-CN" w:bidi="ar"/>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4C5B7A7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4</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5278C29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4</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28C1DD71">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4499B054">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78C8E1FF">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5A490DF8">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224379CD">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7FEFE88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6ECB6928">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食品原料基础</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051104</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7581B6B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7D9AD617">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2C3FA7B">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36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5DA2CC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36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65BA99DD">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3FEF0A1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83F5B0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612EA313">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62B3D19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4</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3DEFA57F">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5B28B3D4">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2A62AD06">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6B167FB4">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7C128BFB">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740FA86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4199A13D">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食品加工工艺基础</w:t>
            </w:r>
          </w:p>
          <w:p w14:paraId="28272EE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051105</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2169CFD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258DCD3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54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59D3B6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36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9C0AA5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18</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40BAB4E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7274519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55C13F8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zh-CN"/>
              </w:rPr>
            </w:pPr>
            <w:r>
              <w:rPr>
                <w:rFonts w:hint="eastAsia" w:ascii="宋体" w:hAnsi="宋体" w:eastAsia="宋体" w:cs="宋体"/>
                <w:i w:val="0"/>
                <w:iCs w:val="0"/>
                <w:color w:val="auto"/>
                <w:kern w:val="0"/>
                <w:sz w:val="21"/>
                <w:szCs w:val="21"/>
                <w:u w:val="none"/>
                <w:lang w:val="en-US" w:eastAsia="zh-CN" w:bidi="ar"/>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4BDFAF02">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715A30F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3</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61B467BC">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3516A1E8">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068E3F52">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09F38449">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637A86E1">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4FBDAFD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1E0E143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eastAsia="zh-CN" w:bidi="ar-SA"/>
              </w:rPr>
              <w:t>调味品发酵技术</w:t>
            </w:r>
          </w:p>
          <w:p w14:paraId="1273D156">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051106</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5A6EEC02">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40BD336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0E7EB46">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98F73BB">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79CE8BAE">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19B2636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D16919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2276B827">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eastAsia="zh-CN" w:bidi="ar-SA"/>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1FDB5B72">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en-US" w:eastAsia="zh-CN" w:bidi="ar-SA"/>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0EF0DF0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2</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1DC3BAF8">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09AE3EB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2B89F228">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eastAsia="zh-CN" w:bidi="ar-SA"/>
              </w:rPr>
            </w:pPr>
          </w:p>
        </w:tc>
      </w:tr>
      <w:tr w14:paraId="0A3D1585">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10CA7F9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6EB6B63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乳制品加工工艺</w:t>
            </w:r>
          </w:p>
          <w:p w14:paraId="6C91F01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051107</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203F67C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11906C4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05B529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8AD4B9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48</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2A95F3E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563F5A17">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B1074E9">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19D42D77">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50C40698">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46190DF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en-US" w:eastAsia="zh-CN"/>
              </w:rPr>
              <w:t>4</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27A7B232">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en-US" w:eastAsia="zh-CN"/>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3712FD9E">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675FA5D7">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72FA3E01">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4195AE6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179EEFA9">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eastAsia="zh-CN" w:bidi="ar-SA"/>
              </w:rPr>
              <w:t>食品发酵技术</w:t>
            </w:r>
          </w:p>
          <w:p w14:paraId="0CC32C5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051108</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3723EAC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7A5DC95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25D2E1F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25ECB83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48</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3B2ECCC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19EFEB0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A17F857">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75BD3D0E">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eastAsia="zh-CN" w:bidi="ar-SA"/>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07807D01">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513A6308">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en-US" w:eastAsia="zh-CN"/>
              </w:rPr>
              <w:t>4</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73B1A952">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en-US" w:eastAsia="zh-CN" w:bidi="ar-SA"/>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6AE296C2">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7893652F">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367C6929">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787A2D2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17A079D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食品理化分析与检验</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051109</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7B146AA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4905CA5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216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03941A9">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A5C82F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144</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6ACD320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38D9A187">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5FEFC46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41A7EF3B">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eastAsia="zh-CN" w:bidi="ar-SA"/>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5EB6D96F">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501C9F8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6</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7FE8758D">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3CE7BEE">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51EC48F2">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6996D7D1">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54A8F68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65F36D9E">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裱花蛋糕工艺</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051110</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053E0E5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7335D4E6">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B5E4E7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99D248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48</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45DACCFE">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3C02841B">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219F038">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5349D692">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eastAsia="zh-CN" w:bidi="ar-SA"/>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07A86C18">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68D37E7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25C4B2E5">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en-US" w:eastAsia="zh-CN"/>
              </w:rPr>
              <w:t>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8C42A6A">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7E5F6623">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62299864">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2D4A0255">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263666F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饮料加工工艺</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051111</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5491C3C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75B0621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7FFD96D">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100323D">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24</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1A4E60C6">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5B93F26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26E70F18">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27A9B199">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eastAsia="zh-CN" w:bidi="ar-SA"/>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03506F8B">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3F41357E">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012FFDDF">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en-US" w:eastAsia="zh-CN"/>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2369122A">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2026D3D2">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178BD25E">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31CA2CD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5BCF9C5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食品微生物检验</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051112</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247EBEB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7E46EDBB">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180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8BC088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60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39C736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120</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6F9B3C8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10</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418200A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10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44F13D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zh-CN"/>
              </w:rPr>
            </w:pPr>
            <w:r>
              <w:rPr>
                <w:rFonts w:hint="eastAsia" w:ascii="宋体" w:hAnsi="宋体" w:eastAsia="宋体" w:cs="宋体"/>
                <w:i w:val="0"/>
                <w:iCs w:val="0"/>
                <w:color w:val="auto"/>
                <w:kern w:val="0"/>
                <w:sz w:val="21"/>
                <w:szCs w:val="21"/>
                <w:u w:val="none"/>
                <w:lang w:val="en-US" w:eastAsia="zh-CN" w:bidi="ar"/>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2B3C6558">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6071F5A7">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12E56E26">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1540907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AB1919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4</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3D7E31B3">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74AC5DD6">
        <w:tblPrEx>
          <w:tblCellMar>
            <w:top w:w="0" w:type="dxa"/>
            <w:left w:w="56" w:type="dxa"/>
            <w:bottom w:w="0" w:type="dxa"/>
            <w:right w:w="56" w:type="dxa"/>
          </w:tblCellMar>
        </w:tblPrEx>
        <w:trPr>
          <w:cantSplit/>
          <w:trHeight w:val="90"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5166CBA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3E5D82E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食品安全与质量控制</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051113</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3775162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2B723ECD">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108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4C82897">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C3F2657">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36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3BD553F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5070EE76">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575038F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zh-CN"/>
              </w:rPr>
            </w:pPr>
            <w:r>
              <w:rPr>
                <w:rFonts w:hint="eastAsia" w:ascii="宋体" w:hAnsi="宋体" w:eastAsia="宋体" w:cs="宋体"/>
                <w:i w:val="0"/>
                <w:iCs w:val="0"/>
                <w:color w:val="auto"/>
                <w:kern w:val="0"/>
                <w:sz w:val="21"/>
                <w:szCs w:val="21"/>
                <w:u w:val="none"/>
                <w:lang w:val="en-US" w:eastAsia="zh-CN" w:bidi="ar"/>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1F43F3E6">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5980994C">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503724CD">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3A3702FC">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148D6ACD">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6</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75648339">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5796D607">
        <w:tblPrEx>
          <w:tblCellMar>
            <w:top w:w="0" w:type="dxa"/>
            <w:left w:w="56" w:type="dxa"/>
            <w:bottom w:w="0" w:type="dxa"/>
            <w:right w:w="56" w:type="dxa"/>
          </w:tblCellMar>
        </w:tblPrEx>
        <w:trPr>
          <w:cantSplit/>
          <w:trHeight w:val="90"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2E5F41CD">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3569F41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食品贮运与保鲜技术</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051114</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3ED1CAE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5A8141F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108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49951E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728B324">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rPr>
            </w:pPr>
            <w:r>
              <w:rPr>
                <w:rFonts w:hint="eastAsia" w:ascii="宋体" w:hAnsi="宋体" w:eastAsia="宋体" w:cs="宋体"/>
                <w:i w:val="0"/>
                <w:iCs w:val="0"/>
                <w:color w:val="000000"/>
                <w:kern w:val="0"/>
                <w:sz w:val="21"/>
                <w:szCs w:val="21"/>
                <w:u w:val="none"/>
                <w:lang w:val="en-US" w:eastAsia="zh-CN" w:bidi="ar"/>
              </w:rPr>
              <w:t>36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5B73BB2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685FD349">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56045C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考试</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6FEC5EC6">
            <w:pPr>
              <w:keepNext w:val="0"/>
              <w:keepLines w:val="0"/>
              <w:pageBreakBefore w:val="0"/>
              <w:wordWrap/>
              <w:overflowPunct/>
              <w:topLinePunct w:val="0"/>
              <w:bidi w:val="0"/>
              <w:spacing w:line="440" w:lineRule="exact"/>
              <w:jc w:val="center"/>
              <w:rPr>
                <w:rFonts w:hint="eastAsia" w:ascii="宋体" w:hAnsi="宋体" w:eastAsia="宋体" w:cs="宋体"/>
                <w:color w:val="auto"/>
                <w:kern w:val="0"/>
                <w:sz w:val="21"/>
                <w:szCs w:val="21"/>
                <w:lang w:val="zh-CN"/>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4A7DA921">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558CB09E">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235BA440">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4E57935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rPr>
            </w:pPr>
            <w:r>
              <w:rPr>
                <w:rFonts w:hint="eastAsia" w:ascii="宋体" w:hAnsi="宋体" w:eastAsia="宋体" w:cs="宋体"/>
                <w:i w:val="0"/>
                <w:iCs w:val="0"/>
                <w:color w:val="000000"/>
                <w:kern w:val="0"/>
                <w:sz w:val="21"/>
                <w:szCs w:val="21"/>
                <w:u w:val="none"/>
                <w:lang w:val="en-US" w:eastAsia="zh-CN" w:bidi="ar"/>
              </w:rPr>
              <w:t>6</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77ADE6BA">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6241738C">
        <w:tblPrEx>
          <w:tblCellMar>
            <w:top w:w="0" w:type="dxa"/>
            <w:left w:w="56" w:type="dxa"/>
            <w:bottom w:w="0" w:type="dxa"/>
            <w:right w:w="56" w:type="dxa"/>
          </w:tblCellMar>
        </w:tblPrEx>
        <w:trPr>
          <w:cantSplit/>
          <w:trHeight w:val="90"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center"/>
          </w:tcPr>
          <w:p w14:paraId="03C6A8F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684BB1CB">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食品智能加工技术</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051115</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423131C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141B73C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36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2954D1C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659F16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16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6855DC0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7B20AA8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en-US" w:eastAsia="zh-CN" w:bidi="ar-SA"/>
              </w:rPr>
              <w:t>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53767CF9">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50D7D99B">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15CD4472">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61B022B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0428DA7F">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5DEC92DA">
            <w:pPr>
              <w:keepNext w:val="0"/>
              <w:keepLines w:val="0"/>
              <w:pageBreakBefore w:val="0"/>
              <w:wordWrap/>
              <w:overflowPunct/>
              <w:topLinePunct w:val="0"/>
              <w:bidi w:val="0"/>
              <w:spacing w:line="440" w:lineRule="exact"/>
              <w:ind w:firstLine="210" w:firstLineChars="100"/>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en-US" w:eastAsia="zh-CN" w:bidi="ar-SA"/>
              </w:rPr>
              <w:t>2</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100E66C5">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eastAsia="zh-CN" w:bidi="ar-SA"/>
              </w:rPr>
            </w:pPr>
          </w:p>
        </w:tc>
      </w:tr>
      <w:tr w14:paraId="28940294">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0E4C7CB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07ED41B0">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b/>
                <w:bCs/>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食品机械与设备</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051116</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281991B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33105EE2">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0561E87">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272315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072EA89A">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425" w:type="dxa"/>
            <w:tcBorders>
              <w:top w:val="single" w:color="auto" w:sz="6" w:space="0"/>
              <w:left w:val="single" w:color="auto" w:sz="6" w:space="0"/>
              <w:bottom w:val="single" w:color="auto" w:sz="6" w:space="0"/>
              <w:right w:val="single" w:color="auto" w:sz="6" w:space="0"/>
            </w:tcBorders>
            <w:noWrap w:val="0"/>
            <w:vAlign w:val="top"/>
          </w:tcPr>
          <w:p w14:paraId="64CF5FC7">
            <w:pPr>
              <w:keepNext w:val="0"/>
              <w:keepLines w:val="0"/>
              <w:pageBreakBefore w:val="0"/>
              <w:widowControl/>
              <w:suppressLineNumbers w:val="0"/>
              <w:wordWrap/>
              <w:overflowPunct/>
              <w:topLinePunct w:val="0"/>
              <w:bidi w:val="0"/>
              <w:spacing w:line="440" w:lineRule="exact"/>
              <w:jc w:val="center"/>
              <w:textAlignment w:val="top"/>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91087D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443EC4B0">
            <w:pPr>
              <w:keepNext w:val="0"/>
              <w:keepLines w:val="0"/>
              <w:pageBreakBefore w:val="0"/>
              <w:wordWrap/>
              <w:overflowPunct/>
              <w:topLinePunct w:val="0"/>
              <w:bidi w:val="0"/>
              <w:spacing w:line="440" w:lineRule="exact"/>
              <w:jc w:val="center"/>
              <w:rPr>
                <w:rFonts w:hint="eastAsia" w:ascii="宋体" w:hAnsi="宋体" w:eastAsia="宋体" w:cs="宋体"/>
                <w:color w:val="000000"/>
                <w:kern w:val="2"/>
                <w:sz w:val="21"/>
                <w:szCs w:val="21"/>
                <w:lang w:val="zh-CN" w:eastAsia="zh-CN" w:bidi="ar-SA"/>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7BF77786">
            <w:pPr>
              <w:keepNext w:val="0"/>
              <w:keepLines w:val="0"/>
              <w:pageBreakBefore w:val="0"/>
              <w:wordWrap/>
              <w:overflowPunct/>
              <w:topLinePunct w:val="0"/>
              <w:bidi w:val="0"/>
              <w:spacing w:line="440" w:lineRule="exact"/>
              <w:jc w:val="center"/>
              <w:rPr>
                <w:rFonts w:hint="eastAsia" w:ascii="宋体" w:hAnsi="宋体" w:eastAsia="宋体" w:cs="宋体"/>
                <w:color w:val="000000"/>
                <w:kern w:val="2"/>
                <w:sz w:val="21"/>
                <w:szCs w:val="21"/>
                <w:lang w:val="zh-CN" w:eastAsia="zh-CN" w:bidi="ar-SA"/>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26D2911B">
            <w:pPr>
              <w:keepNext w:val="0"/>
              <w:keepLines w:val="0"/>
              <w:pageBreakBefore w:val="0"/>
              <w:wordWrap/>
              <w:overflowPunct/>
              <w:topLinePunct w:val="0"/>
              <w:bidi w:val="0"/>
              <w:spacing w:line="440" w:lineRule="exact"/>
              <w:jc w:val="center"/>
              <w:rPr>
                <w:rFonts w:hint="eastAsia" w:ascii="宋体" w:hAnsi="宋体" w:eastAsia="宋体" w:cs="宋体"/>
                <w:color w:val="000000"/>
                <w:kern w:val="2"/>
                <w:sz w:val="21"/>
                <w:szCs w:val="21"/>
                <w:lang w:val="en-US" w:eastAsia="zh-CN" w:bidi="ar-SA"/>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14C632A2">
            <w:pPr>
              <w:keepNext w:val="0"/>
              <w:keepLines w:val="0"/>
              <w:pageBreakBefore w:val="0"/>
              <w:wordWrap/>
              <w:overflowPunct/>
              <w:topLinePunct w:val="0"/>
              <w:bidi w:val="0"/>
              <w:spacing w:line="440" w:lineRule="exact"/>
              <w:jc w:val="center"/>
              <w:rPr>
                <w:rFonts w:hint="eastAsia" w:ascii="宋体" w:hAnsi="宋体" w:eastAsia="宋体" w:cs="宋体"/>
                <w:color w:val="000000"/>
                <w:kern w:val="2"/>
                <w:sz w:val="21"/>
                <w:szCs w:val="21"/>
                <w:lang w:val="zh-CN" w:eastAsia="zh-CN" w:bidi="ar-SA"/>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0BB6A88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1012BB30">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eastAsia="zh-CN" w:bidi="ar-SA"/>
              </w:rPr>
            </w:pPr>
          </w:p>
        </w:tc>
      </w:tr>
      <w:tr w14:paraId="2C747527">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68A4ACE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1873" w:type="dxa"/>
            <w:tcBorders>
              <w:top w:val="single" w:color="auto" w:sz="6" w:space="0"/>
              <w:left w:val="single" w:color="auto" w:sz="4" w:space="0"/>
              <w:bottom w:val="single" w:color="auto" w:sz="6" w:space="0"/>
              <w:right w:val="single" w:color="auto" w:sz="6" w:space="0"/>
            </w:tcBorders>
            <w:noWrap w:val="0"/>
            <w:vAlign w:val="center"/>
          </w:tcPr>
          <w:p w14:paraId="445AC253">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食品法律法规与标准</w:t>
            </w:r>
            <w:r>
              <w:rPr>
                <w:rFonts w:hint="default" w:ascii="宋体" w:hAnsi="宋体" w:cs="宋体"/>
                <w:color w:val="000000"/>
                <w:kern w:val="0"/>
                <w:sz w:val="21"/>
                <w:szCs w:val="21"/>
                <w:highlight w:val="none"/>
                <w:lang w:val="en-US"/>
              </w:rPr>
              <w:t>(Z</w:t>
            </w:r>
            <w:r>
              <w:rPr>
                <w:rFonts w:hint="eastAsia" w:ascii="宋体" w:hAnsi="宋体" w:cs="宋体"/>
                <w:color w:val="000000"/>
                <w:kern w:val="0"/>
                <w:sz w:val="21"/>
                <w:szCs w:val="21"/>
                <w:highlight w:val="none"/>
                <w:lang w:val="en-US" w:eastAsia="zh-CN"/>
              </w:rPr>
              <w:t>051117</w:t>
            </w:r>
            <w:r>
              <w:rPr>
                <w:rFonts w:hint="default" w:ascii="宋体" w:hAnsi="宋体" w:cs="宋体"/>
                <w:color w:val="000000"/>
                <w:kern w:val="0"/>
                <w:sz w:val="21"/>
                <w:szCs w:val="21"/>
                <w:highlight w:val="none"/>
                <w:lang w:val="en-US"/>
              </w:rPr>
              <w:t>)</w:t>
            </w:r>
          </w:p>
        </w:tc>
        <w:tc>
          <w:tcPr>
            <w:tcW w:w="531" w:type="dxa"/>
            <w:tcBorders>
              <w:top w:val="single" w:color="auto" w:sz="6" w:space="0"/>
              <w:left w:val="single" w:color="auto" w:sz="6" w:space="0"/>
              <w:bottom w:val="single" w:color="auto" w:sz="6" w:space="0"/>
              <w:right w:val="single" w:color="auto" w:sz="6" w:space="0"/>
            </w:tcBorders>
            <w:noWrap w:val="0"/>
            <w:vAlign w:val="center"/>
          </w:tcPr>
          <w:p w14:paraId="1A79D88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eastAsia="zh-CN" w:bidi="ar-SA"/>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1AD20EA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02FBC58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72</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6A99BE2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35A3830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6734C1CC">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DF13AF7">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考查</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16C78016">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5F43460E">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6BAFD99A">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0A88FE75">
            <w:pPr>
              <w:keepNext w:val="0"/>
              <w:keepLines w:val="0"/>
              <w:pageBreakBefore w:val="0"/>
              <w:wordWrap/>
              <w:overflowPunct/>
              <w:topLinePunct w:val="0"/>
              <w:bidi w:val="0"/>
              <w:spacing w:line="440" w:lineRule="exact"/>
              <w:jc w:val="center"/>
              <w:rPr>
                <w:rFonts w:hint="eastAsia" w:ascii="宋体" w:hAnsi="宋体" w:eastAsia="宋体" w:cs="宋体"/>
                <w:color w:val="000000"/>
                <w:kern w:val="0"/>
                <w:sz w:val="21"/>
                <w:szCs w:val="21"/>
                <w:lang w:val="zh-CN" w:eastAsia="zh-CN" w:bidi="ar-SA"/>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62F000C9">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color w:val="000000"/>
                <w:kern w:val="0"/>
                <w:sz w:val="21"/>
                <w:szCs w:val="21"/>
                <w:lang w:val="zh-CN" w:eastAsia="zh-CN" w:bidi="ar-SA"/>
              </w:rPr>
            </w:pPr>
            <w:r>
              <w:rPr>
                <w:rFonts w:hint="eastAsia" w:ascii="宋体" w:hAnsi="宋体" w:eastAsia="宋体" w:cs="宋体"/>
                <w:i w:val="0"/>
                <w:iCs w:val="0"/>
                <w:color w:val="000000"/>
                <w:kern w:val="0"/>
                <w:sz w:val="21"/>
                <w:szCs w:val="21"/>
                <w:u w:val="none"/>
                <w:lang w:val="en-US" w:eastAsia="zh-CN" w:bidi="ar"/>
              </w:rPr>
              <w:t>6</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539F8FCD">
            <w:pPr>
              <w:keepNext w:val="0"/>
              <w:keepLines w:val="0"/>
              <w:pageBreakBefore w:val="0"/>
              <w:wordWrap/>
              <w:overflowPunct/>
              <w:topLinePunct w:val="0"/>
              <w:bidi w:val="0"/>
              <w:spacing w:line="440" w:lineRule="exact"/>
              <w:rPr>
                <w:rFonts w:hint="eastAsia" w:ascii="宋体" w:hAnsi="宋体" w:eastAsia="宋体" w:cs="宋体"/>
                <w:color w:val="000000"/>
                <w:kern w:val="0"/>
                <w:sz w:val="21"/>
                <w:szCs w:val="21"/>
                <w:lang w:val="zh-CN"/>
              </w:rPr>
            </w:pPr>
          </w:p>
        </w:tc>
      </w:tr>
      <w:tr w14:paraId="5C081858">
        <w:tblPrEx>
          <w:tblCellMar>
            <w:top w:w="0" w:type="dxa"/>
            <w:left w:w="56" w:type="dxa"/>
            <w:bottom w:w="0" w:type="dxa"/>
            <w:right w:w="56" w:type="dxa"/>
          </w:tblCellMar>
        </w:tblPrEx>
        <w:trPr>
          <w:cantSplit/>
          <w:trHeight w:val="23" w:hRule="atLeast"/>
          <w:jc w:val="center"/>
        </w:trPr>
        <w:tc>
          <w:tcPr>
            <w:tcW w:w="527" w:type="dxa"/>
            <w:vMerge w:val="continue"/>
            <w:tcBorders>
              <w:top w:val="single" w:color="auto" w:sz="4" w:space="0"/>
              <w:left w:val="single" w:color="auto" w:sz="4" w:space="0"/>
              <w:bottom w:val="single" w:color="auto" w:sz="4" w:space="0"/>
              <w:right w:val="single" w:color="auto" w:sz="4" w:space="0"/>
            </w:tcBorders>
            <w:noWrap w:val="0"/>
            <w:vAlign w:val="top"/>
          </w:tcPr>
          <w:p w14:paraId="673BCBE6">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2404" w:type="dxa"/>
            <w:gridSpan w:val="2"/>
            <w:tcBorders>
              <w:top w:val="single" w:color="auto" w:sz="4" w:space="0"/>
              <w:left w:val="single" w:color="auto" w:sz="4" w:space="0"/>
              <w:bottom w:val="single" w:color="auto" w:sz="4" w:space="0"/>
              <w:right w:val="single" w:color="auto" w:sz="6" w:space="0"/>
            </w:tcBorders>
            <w:noWrap w:val="0"/>
            <w:vAlign w:val="center"/>
          </w:tcPr>
          <w:p w14:paraId="1D997DE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小计</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2EF89AF8">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b/>
                <w:bCs/>
                <w:color w:val="000000"/>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1494</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4219A05">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b/>
                <w:bCs/>
                <w:color w:val="000000"/>
                <w:sz w:val="21"/>
                <w:szCs w:val="21"/>
                <w:lang w:val="en-US"/>
              </w:rPr>
            </w:pPr>
            <w:r>
              <w:rPr>
                <w:rFonts w:hint="eastAsia" w:ascii="宋体" w:hAnsi="宋体" w:eastAsia="宋体" w:cs="宋体"/>
                <w:b/>
                <w:bCs/>
                <w:i w:val="0"/>
                <w:iCs w:val="0"/>
                <w:color w:val="000000"/>
                <w:kern w:val="0"/>
                <w:sz w:val="21"/>
                <w:szCs w:val="21"/>
                <w:u w:val="none"/>
                <w:lang w:val="en-US" w:eastAsia="zh-CN" w:bidi="ar"/>
              </w:rPr>
              <w:t>718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9789521">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b/>
                <w:bCs/>
                <w:color w:val="000000"/>
                <w:sz w:val="21"/>
                <w:szCs w:val="21"/>
                <w:lang w:val="en-US"/>
              </w:rPr>
            </w:pPr>
            <w:r>
              <w:rPr>
                <w:rFonts w:hint="eastAsia" w:ascii="宋体" w:hAnsi="宋体" w:eastAsia="宋体" w:cs="宋体"/>
                <w:b/>
                <w:bCs/>
                <w:i w:val="0"/>
                <w:iCs w:val="0"/>
                <w:color w:val="000000"/>
                <w:kern w:val="0"/>
                <w:sz w:val="21"/>
                <w:szCs w:val="21"/>
                <w:u w:val="none"/>
                <w:lang w:val="en-US" w:eastAsia="zh-CN" w:bidi="ar"/>
              </w:rPr>
              <w:t>776</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5F74B48D">
            <w:pPr>
              <w:keepNext w:val="0"/>
              <w:keepLines w:val="0"/>
              <w:pageBreakBefore w:val="0"/>
              <w:widowControl/>
              <w:suppressLineNumbers w:val="0"/>
              <w:wordWrap/>
              <w:overflowPunct/>
              <w:topLinePunct w:val="0"/>
              <w:bidi w:val="0"/>
              <w:spacing w:line="44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82</w:t>
            </w:r>
          </w:p>
        </w:tc>
        <w:tc>
          <w:tcPr>
            <w:tcW w:w="425" w:type="dxa"/>
            <w:tcBorders>
              <w:top w:val="single" w:color="auto" w:sz="6" w:space="0"/>
              <w:left w:val="single" w:color="auto" w:sz="6" w:space="0"/>
              <w:bottom w:val="single" w:color="auto" w:sz="6" w:space="0"/>
              <w:right w:val="single" w:color="auto" w:sz="6" w:space="0"/>
            </w:tcBorders>
            <w:noWrap w:val="0"/>
            <w:vAlign w:val="top"/>
          </w:tcPr>
          <w:p w14:paraId="269BE53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kern w:val="0"/>
                <w:sz w:val="21"/>
                <w:szCs w:val="21"/>
                <w:lang w:val="zh-CN"/>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4BCA5941">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kern w:val="0"/>
                <w:sz w:val="21"/>
                <w:szCs w:val="21"/>
                <w:lang w:val="zh-CN"/>
              </w:rPr>
            </w:pPr>
          </w:p>
        </w:tc>
        <w:tc>
          <w:tcPr>
            <w:tcW w:w="611" w:type="dxa"/>
            <w:tcBorders>
              <w:top w:val="single" w:color="auto" w:sz="6" w:space="0"/>
              <w:left w:val="single" w:color="auto" w:sz="6" w:space="0"/>
              <w:bottom w:val="single" w:color="auto" w:sz="6" w:space="0"/>
              <w:right w:val="single" w:color="auto" w:sz="6" w:space="0"/>
            </w:tcBorders>
            <w:noWrap w:val="0"/>
            <w:vAlign w:val="center"/>
          </w:tcPr>
          <w:p w14:paraId="0537C1A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10</w:t>
            </w:r>
          </w:p>
        </w:tc>
        <w:tc>
          <w:tcPr>
            <w:tcW w:w="709" w:type="dxa"/>
            <w:tcBorders>
              <w:top w:val="single" w:color="auto" w:sz="6" w:space="0"/>
              <w:left w:val="single" w:color="auto" w:sz="6" w:space="0"/>
              <w:bottom w:val="single" w:color="auto" w:sz="6" w:space="0"/>
              <w:right w:val="single" w:color="auto" w:sz="6" w:space="0"/>
            </w:tcBorders>
            <w:noWrap w:val="0"/>
            <w:vAlign w:val="center"/>
          </w:tcPr>
          <w:p w14:paraId="15AD7DB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kern w:val="0"/>
                <w:sz w:val="21"/>
                <w:szCs w:val="21"/>
                <w:lang w:val="zh-CN"/>
              </w:rPr>
            </w:pPr>
            <w:r>
              <w:rPr>
                <w:rFonts w:hint="eastAsia" w:ascii="宋体" w:hAnsi="宋体" w:eastAsia="宋体" w:cs="宋体"/>
                <w:b/>
                <w:bCs/>
                <w:color w:val="000000"/>
                <w:kern w:val="0"/>
                <w:sz w:val="21"/>
                <w:szCs w:val="21"/>
                <w:lang w:val="zh-CN"/>
              </w:rPr>
              <w:t>11</w:t>
            </w:r>
          </w:p>
        </w:tc>
        <w:tc>
          <w:tcPr>
            <w:tcW w:w="610" w:type="dxa"/>
            <w:tcBorders>
              <w:top w:val="single" w:color="auto" w:sz="6" w:space="0"/>
              <w:left w:val="single" w:color="auto" w:sz="6" w:space="0"/>
              <w:bottom w:val="single" w:color="auto" w:sz="6" w:space="0"/>
              <w:right w:val="single" w:color="auto" w:sz="6" w:space="0"/>
            </w:tcBorders>
            <w:noWrap w:val="0"/>
            <w:vAlign w:val="center"/>
          </w:tcPr>
          <w:p w14:paraId="0385921F">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16</w:t>
            </w:r>
          </w:p>
        </w:tc>
        <w:tc>
          <w:tcPr>
            <w:tcW w:w="524" w:type="dxa"/>
            <w:tcBorders>
              <w:top w:val="single" w:color="auto" w:sz="6" w:space="0"/>
              <w:left w:val="single" w:color="auto" w:sz="6" w:space="0"/>
              <w:bottom w:val="single" w:color="auto" w:sz="6" w:space="0"/>
              <w:right w:val="single" w:color="auto" w:sz="6" w:space="0"/>
            </w:tcBorders>
            <w:noWrap w:val="0"/>
            <w:vAlign w:val="center"/>
          </w:tcPr>
          <w:p w14:paraId="1DB05E0A">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18</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106A1BA0">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b/>
                <w:bCs/>
                <w:color w:val="000000"/>
                <w:kern w:val="0"/>
                <w:sz w:val="21"/>
                <w:szCs w:val="21"/>
                <w:lang w:val="zh-CN"/>
              </w:rPr>
            </w:pPr>
            <w:r>
              <w:rPr>
                <w:rFonts w:hint="eastAsia" w:ascii="宋体" w:hAnsi="宋体" w:eastAsia="宋体" w:cs="宋体"/>
                <w:b/>
                <w:bCs/>
                <w:color w:val="000000"/>
                <w:kern w:val="0"/>
                <w:sz w:val="21"/>
                <w:szCs w:val="21"/>
                <w:lang w:val="zh-CN"/>
              </w:rPr>
              <w:t>28</w:t>
            </w:r>
          </w:p>
        </w:tc>
        <w:tc>
          <w:tcPr>
            <w:tcW w:w="539" w:type="dxa"/>
            <w:tcBorders>
              <w:top w:val="single" w:color="auto" w:sz="6" w:space="0"/>
              <w:left w:val="single" w:color="auto" w:sz="6" w:space="0"/>
              <w:bottom w:val="single" w:color="auto" w:sz="6" w:space="0"/>
              <w:right w:val="single" w:color="auto" w:sz="6" w:space="0"/>
            </w:tcBorders>
            <w:noWrap w:val="0"/>
            <w:vAlign w:val="center"/>
          </w:tcPr>
          <w:p w14:paraId="3258F987">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17F4D1BD">
        <w:tblPrEx>
          <w:tblCellMar>
            <w:top w:w="0" w:type="dxa"/>
            <w:left w:w="56" w:type="dxa"/>
            <w:bottom w:w="0" w:type="dxa"/>
            <w:right w:w="56" w:type="dxa"/>
          </w:tblCellMar>
        </w:tblPrEx>
        <w:trPr>
          <w:cantSplit/>
          <w:trHeight w:val="678" w:hRule="atLeast"/>
          <w:jc w:val="center"/>
        </w:trPr>
        <w:tc>
          <w:tcPr>
            <w:tcW w:w="2400" w:type="dxa"/>
            <w:gridSpan w:val="2"/>
            <w:tcBorders>
              <w:top w:val="single" w:color="auto" w:sz="4" w:space="0"/>
              <w:left w:val="single" w:color="auto" w:sz="4" w:space="0"/>
              <w:bottom w:val="single" w:color="auto" w:sz="4" w:space="0"/>
              <w:right w:val="single" w:color="auto" w:sz="4" w:space="0"/>
            </w:tcBorders>
            <w:noWrap w:val="0"/>
            <w:vAlign w:val="center"/>
          </w:tcPr>
          <w:p w14:paraId="15B807C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岗位实习</w:t>
            </w:r>
          </w:p>
        </w:tc>
        <w:tc>
          <w:tcPr>
            <w:tcW w:w="531" w:type="dxa"/>
            <w:tcBorders>
              <w:top w:val="single" w:color="auto" w:sz="4" w:space="0"/>
              <w:left w:val="single" w:color="auto" w:sz="4" w:space="0"/>
              <w:bottom w:val="single" w:color="auto" w:sz="4" w:space="0"/>
              <w:right w:val="single" w:color="auto" w:sz="6" w:space="0"/>
            </w:tcBorders>
            <w:noWrap w:val="0"/>
            <w:vAlign w:val="center"/>
          </w:tcPr>
          <w:p w14:paraId="746B637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必修</w:t>
            </w:r>
          </w:p>
        </w:tc>
        <w:tc>
          <w:tcPr>
            <w:tcW w:w="606" w:type="dxa"/>
            <w:tcBorders>
              <w:top w:val="single" w:color="auto" w:sz="6" w:space="0"/>
              <w:left w:val="single" w:color="auto" w:sz="6" w:space="0"/>
              <w:bottom w:val="single" w:color="auto" w:sz="6" w:space="0"/>
              <w:right w:val="single" w:color="auto" w:sz="6" w:space="0"/>
            </w:tcBorders>
            <w:noWrap w:val="0"/>
            <w:vAlign w:val="center"/>
          </w:tcPr>
          <w:p w14:paraId="50B16A74">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600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3830F114">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4F79D0D8">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600</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6CB0419F">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20</w:t>
            </w:r>
          </w:p>
        </w:tc>
        <w:tc>
          <w:tcPr>
            <w:tcW w:w="425" w:type="dxa"/>
            <w:tcBorders>
              <w:top w:val="single" w:color="auto" w:sz="6" w:space="0"/>
              <w:left w:val="single" w:color="auto" w:sz="6" w:space="0"/>
              <w:bottom w:val="single" w:color="auto" w:sz="6" w:space="0"/>
              <w:right w:val="single" w:color="auto" w:sz="6" w:space="0"/>
            </w:tcBorders>
            <w:noWrap w:val="0"/>
            <w:vAlign w:val="center"/>
          </w:tcPr>
          <w:p w14:paraId="2CA9F1A8">
            <w:pPr>
              <w:keepNext w:val="0"/>
              <w:keepLines w:val="0"/>
              <w:pageBreakBefore w:val="0"/>
              <w:wordWrap/>
              <w:overflowPunct/>
              <w:topLinePunct w:val="0"/>
              <w:bidi w:val="0"/>
              <w:spacing w:line="4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rPr>
              <w:t>30</w:t>
            </w:r>
          </w:p>
        </w:tc>
        <w:tc>
          <w:tcPr>
            <w:tcW w:w="567" w:type="dxa"/>
            <w:tcBorders>
              <w:top w:val="single" w:color="auto" w:sz="6" w:space="0"/>
              <w:left w:val="single" w:color="auto" w:sz="6" w:space="0"/>
              <w:bottom w:val="single" w:color="auto" w:sz="6" w:space="0"/>
              <w:right w:val="single" w:color="auto" w:sz="6" w:space="0"/>
            </w:tcBorders>
            <w:noWrap w:val="0"/>
            <w:vAlign w:val="center"/>
          </w:tcPr>
          <w:p w14:paraId="7DE9BA91">
            <w:pPr>
              <w:keepNext w:val="0"/>
              <w:keepLines w:val="0"/>
              <w:pageBreakBefore w:val="0"/>
              <w:wordWrap/>
              <w:overflowPunct/>
              <w:topLinePunct w:val="0"/>
              <w:bidi w:val="0"/>
              <w:spacing w:line="4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rPr>
              <w:t>周记</w:t>
            </w:r>
          </w:p>
        </w:tc>
        <w:tc>
          <w:tcPr>
            <w:tcW w:w="611" w:type="dxa"/>
            <w:tcBorders>
              <w:top w:val="single" w:color="auto" w:sz="6" w:space="0"/>
              <w:left w:val="single" w:color="auto" w:sz="6" w:space="0"/>
              <w:bottom w:val="single" w:color="auto" w:sz="6" w:space="0"/>
              <w:right w:val="single" w:color="auto" w:sz="6" w:space="0"/>
            </w:tcBorders>
            <w:noWrap w:val="0"/>
            <w:vAlign w:val="center"/>
          </w:tcPr>
          <w:p w14:paraId="6002E1B6">
            <w:pPr>
              <w:keepNext w:val="0"/>
              <w:keepLines w:val="0"/>
              <w:pageBreakBefore w:val="0"/>
              <w:wordWrap/>
              <w:overflowPunct/>
              <w:topLinePunct w:val="0"/>
              <w:bidi w:val="0"/>
              <w:spacing w:line="440" w:lineRule="exact"/>
              <w:jc w:val="center"/>
              <w:rPr>
                <w:rFonts w:hint="eastAsia" w:ascii="宋体" w:hAnsi="宋体" w:eastAsia="宋体" w:cs="宋体"/>
                <w:color w:val="000000"/>
                <w:sz w:val="21"/>
                <w:szCs w:val="21"/>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76BCC9A1">
            <w:pPr>
              <w:keepNext w:val="0"/>
              <w:keepLines w:val="0"/>
              <w:pageBreakBefore w:val="0"/>
              <w:wordWrap/>
              <w:overflowPunct/>
              <w:topLinePunct w:val="0"/>
              <w:bidi w:val="0"/>
              <w:spacing w:line="440" w:lineRule="exact"/>
              <w:jc w:val="center"/>
              <w:rPr>
                <w:rFonts w:hint="eastAsia" w:ascii="宋体" w:hAnsi="宋体" w:eastAsia="宋体" w:cs="宋体"/>
                <w:color w:val="000000"/>
                <w:sz w:val="21"/>
                <w:szCs w:val="21"/>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1AC808BF">
            <w:pPr>
              <w:keepNext w:val="0"/>
              <w:keepLines w:val="0"/>
              <w:pageBreakBefore w:val="0"/>
              <w:wordWrap/>
              <w:overflowPunct/>
              <w:topLinePunct w:val="0"/>
              <w:bidi w:val="0"/>
              <w:spacing w:line="440" w:lineRule="exact"/>
              <w:jc w:val="center"/>
              <w:rPr>
                <w:rFonts w:hint="eastAsia" w:ascii="宋体" w:hAnsi="宋体" w:eastAsia="宋体" w:cs="宋体"/>
                <w:color w:val="00000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79B6F4FB">
            <w:pPr>
              <w:keepNext w:val="0"/>
              <w:keepLines w:val="0"/>
              <w:pageBreakBefore w:val="0"/>
              <w:wordWrap/>
              <w:overflowPunct/>
              <w:topLinePunct w:val="0"/>
              <w:bidi w:val="0"/>
              <w:spacing w:line="440" w:lineRule="exact"/>
              <w:jc w:val="center"/>
              <w:rPr>
                <w:rFonts w:hint="eastAsia" w:ascii="宋体" w:hAnsi="宋体" w:eastAsia="宋体" w:cs="宋体"/>
                <w:color w:val="00000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47F44946">
            <w:pPr>
              <w:keepNext w:val="0"/>
              <w:keepLines w:val="0"/>
              <w:pageBreakBefore w:val="0"/>
              <w:wordWrap/>
              <w:overflowPunct/>
              <w:topLinePunct w:val="0"/>
              <w:bidi w:val="0"/>
              <w:spacing w:line="440" w:lineRule="exact"/>
              <w:jc w:val="center"/>
              <w:rPr>
                <w:rFonts w:hint="eastAsia" w:ascii="宋体" w:hAnsi="宋体" w:eastAsia="宋体" w:cs="宋体"/>
                <w:color w:val="00000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501587DB">
            <w:pPr>
              <w:keepNext w:val="0"/>
              <w:keepLines w:val="0"/>
              <w:pageBreakBefore w:val="0"/>
              <w:wordWrap/>
              <w:overflowPunct/>
              <w:topLinePunct w:val="0"/>
              <w:bidi w:val="0"/>
              <w:spacing w:line="440" w:lineRule="exact"/>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rPr>
              <w:t>20周</w:t>
            </w:r>
          </w:p>
        </w:tc>
      </w:tr>
      <w:tr w14:paraId="761C42B1">
        <w:tblPrEx>
          <w:tblCellMar>
            <w:top w:w="0" w:type="dxa"/>
            <w:left w:w="56" w:type="dxa"/>
            <w:bottom w:w="0" w:type="dxa"/>
            <w:right w:w="56" w:type="dxa"/>
          </w:tblCellMar>
        </w:tblPrEx>
        <w:trPr>
          <w:cantSplit/>
          <w:trHeight w:val="23" w:hRule="atLeast"/>
          <w:jc w:val="center"/>
        </w:trPr>
        <w:tc>
          <w:tcPr>
            <w:tcW w:w="2931" w:type="dxa"/>
            <w:gridSpan w:val="3"/>
            <w:tcBorders>
              <w:top w:val="single" w:color="auto" w:sz="4" w:space="0"/>
              <w:left w:val="single" w:color="auto" w:sz="4" w:space="0"/>
              <w:bottom w:val="single" w:color="auto" w:sz="4" w:space="0"/>
              <w:right w:val="single" w:color="auto" w:sz="6" w:space="0"/>
            </w:tcBorders>
            <w:noWrap w:val="0"/>
            <w:vAlign w:val="top"/>
          </w:tcPr>
          <w:p w14:paraId="34F1EFB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合计</w:t>
            </w:r>
          </w:p>
        </w:tc>
        <w:tc>
          <w:tcPr>
            <w:tcW w:w="606" w:type="dxa"/>
            <w:tcBorders>
              <w:top w:val="single" w:color="auto" w:sz="6" w:space="0"/>
              <w:left w:val="single" w:color="auto" w:sz="6" w:space="0"/>
              <w:bottom w:val="single" w:color="auto" w:sz="6" w:space="0"/>
              <w:right w:val="single" w:color="auto" w:sz="6" w:space="0"/>
            </w:tcBorders>
            <w:noWrap w:val="0"/>
            <w:vAlign w:val="top"/>
          </w:tcPr>
          <w:p w14:paraId="77D1B3FE">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3348</w:t>
            </w:r>
          </w:p>
        </w:tc>
        <w:tc>
          <w:tcPr>
            <w:tcW w:w="567" w:type="dxa"/>
            <w:tcBorders>
              <w:top w:val="single" w:color="auto" w:sz="6" w:space="0"/>
              <w:left w:val="single" w:color="auto" w:sz="6" w:space="0"/>
              <w:bottom w:val="single" w:color="auto" w:sz="6" w:space="0"/>
              <w:right w:val="single" w:color="auto" w:sz="6" w:space="0"/>
            </w:tcBorders>
            <w:noWrap w:val="0"/>
            <w:vAlign w:val="top"/>
          </w:tcPr>
          <w:p w14:paraId="64FB1F42">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1582</w:t>
            </w:r>
          </w:p>
        </w:tc>
        <w:tc>
          <w:tcPr>
            <w:tcW w:w="567" w:type="dxa"/>
            <w:tcBorders>
              <w:top w:val="single" w:color="auto" w:sz="6" w:space="0"/>
              <w:left w:val="single" w:color="auto" w:sz="6" w:space="0"/>
              <w:bottom w:val="single" w:color="auto" w:sz="6" w:space="0"/>
              <w:right w:val="single" w:color="auto" w:sz="6" w:space="0"/>
            </w:tcBorders>
            <w:noWrap w:val="0"/>
            <w:vAlign w:val="top"/>
          </w:tcPr>
          <w:p w14:paraId="0F8A2EAC">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1766</w:t>
            </w:r>
          </w:p>
        </w:tc>
        <w:tc>
          <w:tcPr>
            <w:tcW w:w="425" w:type="dxa"/>
            <w:tcBorders>
              <w:top w:val="single" w:color="auto" w:sz="6" w:space="0"/>
              <w:left w:val="single" w:color="auto" w:sz="6" w:space="0"/>
              <w:bottom w:val="single" w:color="auto" w:sz="6" w:space="0"/>
              <w:right w:val="single" w:color="auto" w:sz="6" w:space="0"/>
            </w:tcBorders>
            <w:noWrap w:val="0"/>
            <w:vAlign w:val="top"/>
          </w:tcPr>
          <w:p w14:paraId="4D240D24">
            <w:pPr>
              <w:keepNext w:val="0"/>
              <w:keepLines w:val="0"/>
              <w:pageBreakBefore w:val="0"/>
              <w:wordWrap/>
              <w:overflowPunct/>
              <w:topLinePunct w:val="0"/>
              <w:bidi w:val="0"/>
              <w:spacing w:line="440" w:lineRule="exact"/>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172</w:t>
            </w:r>
          </w:p>
        </w:tc>
        <w:tc>
          <w:tcPr>
            <w:tcW w:w="425" w:type="dxa"/>
            <w:tcBorders>
              <w:top w:val="single" w:color="auto" w:sz="6" w:space="0"/>
              <w:left w:val="single" w:color="auto" w:sz="6" w:space="0"/>
              <w:bottom w:val="single" w:color="auto" w:sz="6" w:space="0"/>
              <w:right w:val="single" w:color="auto" w:sz="6" w:space="0"/>
            </w:tcBorders>
            <w:noWrap w:val="0"/>
            <w:vAlign w:val="top"/>
          </w:tcPr>
          <w:p w14:paraId="0D24A3A8">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4809A38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611" w:type="dxa"/>
            <w:tcBorders>
              <w:top w:val="single" w:color="auto" w:sz="6" w:space="0"/>
              <w:left w:val="single" w:color="auto" w:sz="6" w:space="0"/>
              <w:bottom w:val="single" w:color="auto" w:sz="6" w:space="0"/>
              <w:right w:val="single" w:color="auto" w:sz="6" w:space="0"/>
            </w:tcBorders>
            <w:noWrap w:val="0"/>
            <w:vAlign w:val="center"/>
          </w:tcPr>
          <w:p w14:paraId="4FEE670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rPr>
            </w:pPr>
          </w:p>
        </w:tc>
        <w:tc>
          <w:tcPr>
            <w:tcW w:w="709" w:type="dxa"/>
            <w:tcBorders>
              <w:top w:val="single" w:color="auto" w:sz="6" w:space="0"/>
              <w:left w:val="single" w:color="auto" w:sz="6" w:space="0"/>
              <w:bottom w:val="single" w:color="auto" w:sz="6" w:space="0"/>
              <w:right w:val="single" w:color="auto" w:sz="6" w:space="0"/>
            </w:tcBorders>
            <w:noWrap w:val="0"/>
            <w:vAlign w:val="center"/>
          </w:tcPr>
          <w:p w14:paraId="739A839E">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rPr>
            </w:pPr>
          </w:p>
        </w:tc>
        <w:tc>
          <w:tcPr>
            <w:tcW w:w="610" w:type="dxa"/>
            <w:tcBorders>
              <w:top w:val="single" w:color="auto" w:sz="6" w:space="0"/>
              <w:left w:val="single" w:color="auto" w:sz="6" w:space="0"/>
              <w:bottom w:val="single" w:color="auto" w:sz="6" w:space="0"/>
              <w:right w:val="single" w:color="auto" w:sz="6" w:space="0"/>
            </w:tcBorders>
            <w:noWrap w:val="0"/>
            <w:vAlign w:val="center"/>
          </w:tcPr>
          <w:p w14:paraId="6463C729">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rPr>
            </w:pPr>
          </w:p>
        </w:tc>
        <w:tc>
          <w:tcPr>
            <w:tcW w:w="524" w:type="dxa"/>
            <w:tcBorders>
              <w:top w:val="single" w:color="auto" w:sz="6" w:space="0"/>
              <w:left w:val="single" w:color="auto" w:sz="6" w:space="0"/>
              <w:bottom w:val="single" w:color="auto" w:sz="6" w:space="0"/>
              <w:right w:val="single" w:color="auto" w:sz="6" w:space="0"/>
            </w:tcBorders>
            <w:noWrap w:val="0"/>
            <w:vAlign w:val="center"/>
          </w:tcPr>
          <w:p w14:paraId="497D347C">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rPr>
            </w:pPr>
          </w:p>
        </w:tc>
        <w:tc>
          <w:tcPr>
            <w:tcW w:w="567" w:type="dxa"/>
            <w:tcBorders>
              <w:top w:val="single" w:color="auto" w:sz="6" w:space="0"/>
              <w:left w:val="single" w:color="auto" w:sz="6" w:space="0"/>
              <w:bottom w:val="single" w:color="auto" w:sz="6" w:space="0"/>
              <w:right w:val="single" w:color="auto" w:sz="6" w:space="0"/>
            </w:tcBorders>
            <w:noWrap w:val="0"/>
            <w:vAlign w:val="center"/>
          </w:tcPr>
          <w:p w14:paraId="0FB3C4A3">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c>
          <w:tcPr>
            <w:tcW w:w="539" w:type="dxa"/>
            <w:tcBorders>
              <w:top w:val="single" w:color="auto" w:sz="6" w:space="0"/>
              <w:left w:val="single" w:color="auto" w:sz="6" w:space="0"/>
              <w:bottom w:val="single" w:color="auto" w:sz="6" w:space="0"/>
              <w:right w:val="single" w:color="auto" w:sz="6" w:space="0"/>
            </w:tcBorders>
            <w:noWrap w:val="0"/>
            <w:vAlign w:val="center"/>
          </w:tcPr>
          <w:p w14:paraId="4176EB44">
            <w:pPr>
              <w:keepNext w:val="0"/>
              <w:keepLines w:val="0"/>
              <w:pageBreakBefore w:val="0"/>
              <w:wordWrap/>
              <w:overflowPunct/>
              <w:topLinePunct w:val="0"/>
              <w:autoSpaceDE w:val="0"/>
              <w:autoSpaceDN w:val="0"/>
              <w:bidi w:val="0"/>
              <w:adjustRightInd w:val="0"/>
              <w:snapToGrid w:val="0"/>
              <w:spacing w:line="440" w:lineRule="exact"/>
              <w:jc w:val="center"/>
              <w:rPr>
                <w:rFonts w:hint="eastAsia" w:ascii="宋体" w:hAnsi="宋体" w:eastAsia="宋体" w:cs="宋体"/>
                <w:color w:val="000000"/>
                <w:kern w:val="0"/>
                <w:sz w:val="21"/>
                <w:szCs w:val="21"/>
                <w:lang w:val="zh-CN"/>
              </w:rPr>
            </w:pPr>
          </w:p>
        </w:tc>
      </w:tr>
      <w:tr w14:paraId="3D88510D">
        <w:tblPrEx>
          <w:tblCellMar>
            <w:top w:w="0" w:type="dxa"/>
            <w:left w:w="56" w:type="dxa"/>
            <w:bottom w:w="0" w:type="dxa"/>
            <w:right w:w="56" w:type="dxa"/>
          </w:tblCellMar>
        </w:tblPrEx>
        <w:trPr>
          <w:cantSplit/>
          <w:trHeight w:val="23" w:hRule="atLeast"/>
          <w:jc w:val="center"/>
        </w:trPr>
        <w:tc>
          <w:tcPr>
            <w:tcW w:w="9648" w:type="dxa"/>
            <w:gridSpan w:val="15"/>
            <w:tcBorders>
              <w:top w:val="single" w:color="auto" w:sz="4" w:space="0"/>
              <w:left w:val="single" w:color="auto" w:sz="4" w:space="0"/>
              <w:bottom w:val="single" w:color="auto" w:sz="4" w:space="0"/>
              <w:right w:val="single" w:color="auto" w:sz="6" w:space="0"/>
            </w:tcBorders>
            <w:noWrap w:val="0"/>
            <w:vAlign w:val="top"/>
          </w:tcPr>
          <w:p w14:paraId="2A0D484D">
            <w:pPr>
              <w:keepNext w:val="0"/>
              <w:keepLines w:val="0"/>
              <w:pageBreakBefore w:val="0"/>
              <w:wordWrap/>
              <w:overflowPunct/>
              <w:topLinePunct w:val="0"/>
              <w:bidi w:val="0"/>
              <w:spacing w:line="440" w:lineRule="exact"/>
              <w:ind w:firstLine="630" w:firstLineChars="300"/>
              <w:rPr>
                <w:rFonts w:hint="eastAsia" w:ascii="宋体" w:hAnsi="宋体" w:eastAsia="宋体" w:cs="宋体"/>
                <w:color w:val="000000"/>
                <w:sz w:val="21"/>
                <w:szCs w:val="21"/>
              </w:rPr>
            </w:pPr>
            <w:r>
              <w:rPr>
                <w:rFonts w:hint="eastAsia" w:ascii="宋体" w:hAnsi="宋体" w:eastAsia="宋体" w:cs="宋体"/>
                <w:color w:val="000000"/>
                <w:sz w:val="21"/>
                <w:szCs w:val="21"/>
              </w:rPr>
              <w:t>备注：1.素质教育课程中劳动教育、安全教育、心理健康教育都纳入班会课，不计入总课时。</w:t>
            </w:r>
          </w:p>
          <w:p w14:paraId="634928BD">
            <w:pPr>
              <w:keepNext w:val="0"/>
              <w:keepLines w:val="0"/>
              <w:pageBreakBefore w:val="0"/>
              <w:wordWrap/>
              <w:overflowPunct/>
              <w:topLinePunct w:val="0"/>
              <w:bidi w:val="0"/>
              <w:spacing w:line="440" w:lineRule="exact"/>
              <w:ind w:firstLine="1260" w:firstLineChars="600"/>
              <w:rPr>
                <w:rFonts w:hint="eastAsia" w:ascii="宋体" w:hAnsi="宋体" w:eastAsia="宋体" w:cs="宋体"/>
                <w:color w:val="000000"/>
                <w:sz w:val="21"/>
                <w:szCs w:val="21"/>
              </w:rPr>
            </w:pPr>
            <w:r>
              <w:rPr>
                <w:rFonts w:hint="eastAsia" w:ascii="宋体" w:hAnsi="宋体" w:eastAsia="宋体" w:cs="宋体"/>
                <w:color w:val="000000"/>
                <w:sz w:val="21"/>
                <w:szCs w:val="21"/>
              </w:rPr>
              <w:t>2.史模块72学时中含有中国历史45学时、世界历史27学时，分两学期实施。</w:t>
            </w:r>
          </w:p>
        </w:tc>
      </w:tr>
    </w:tbl>
    <w:p w14:paraId="64A3D8BC">
      <w:pPr>
        <w:pStyle w:val="2"/>
        <w:bidi w:val="0"/>
        <w:rPr>
          <w:rFonts w:hint="eastAsia" w:ascii="黑体" w:hAnsi="黑体" w:eastAsia="黑体" w:cs="黑体"/>
          <w:b w:val="0"/>
          <w:bCs/>
          <w:sz w:val="28"/>
          <w:szCs w:val="28"/>
          <w:lang w:val="zh-CN" w:eastAsia="zh-CN"/>
        </w:rPr>
      </w:pPr>
      <w:bookmarkStart w:id="46" w:name="_Toc149212745"/>
      <w:bookmarkStart w:id="47" w:name="_Toc135173991"/>
      <w:bookmarkStart w:id="48" w:name="_Toc3954"/>
      <w:bookmarkStart w:id="49" w:name="_Toc113290240"/>
      <w:bookmarkStart w:id="50" w:name="_Toc1778149184_WPSOffice_Level1"/>
      <w:bookmarkStart w:id="51" w:name="_Toc22899"/>
      <w:bookmarkStart w:id="52" w:name="_Toc19354"/>
      <w:bookmarkStart w:id="53" w:name="_Toc18342"/>
      <w:bookmarkStart w:id="54" w:name="_Toc4787"/>
      <w:r>
        <w:rPr>
          <w:rFonts w:hint="eastAsia" w:ascii="黑体" w:hAnsi="黑体" w:eastAsia="黑体" w:cs="黑体"/>
          <w:b w:val="0"/>
          <w:bCs/>
          <w:sz w:val="28"/>
          <w:szCs w:val="28"/>
          <w:lang w:val="en-US" w:eastAsia="zh-CN"/>
        </w:rPr>
        <w:t>八</w:t>
      </w:r>
      <w:r>
        <w:rPr>
          <w:rFonts w:hint="eastAsia" w:ascii="黑体" w:hAnsi="黑体" w:eastAsia="黑体" w:cs="黑体"/>
          <w:b w:val="0"/>
          <w:bCs/>
          <w:sz w:val="28"/>
          <w:szCs w:val="28"/>
          <w:lang w:val="zh-CN" w:eastAsia="zh-CN"/>
        </w:rPr>
        <w:t>、实施保障</w:t>
      </w:r>
      <w:bookmarkEnd w:id="46"/>
      <w:bookmarkEnd w:id="47"/>
    </w:p>
    <w:p w14:paraId="339BDF60">
      <w:pPr>
        <w:pStyle w:val="3"/>
        <w:bidi w:val="0"/>
        <w:rPr>
          <w:rFonts w:hint="eastAsia"/>
          <w:sz w:val="24"/>
          <w:szCs w:val="24"/>
          <w:lang w:val="zh-CN" w:eastAsia="zh-CN"/>
        </w:rPr>
      </w:pPr>
      <w:bookmarkStart w:id="55" w:name="_Toc1979051858"/>
      <w:r>
        <w:rPr>
          <w:rFonts w:hint="eastAsia"/>
          <w:sz w:val="24"/>
          <w:szCs w:val="24"/>
          <w:lang w:val="zh-CN" w:eastAsia="zh-CN"/>
        </w:rPr>
        <w:t>（一）师资队伍</w:t>
      </w:r>
      <w:bookmarkEnd w:id="55"/>
    </w:p>
    <w:p w14:paraId="512557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1.专任专业教师与在籍学生之比不低于 1：36，研究生学历（或硕士以上学位）不低于5%，高级职称15%以上，获得与本专业相关的高级工以上职业资格60%以上，或取得非教师系列专业技术中级以上职称30%以上；兼职教师占专业教师比例10%</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zh-CN" w:eastAsia="zh-CN"/>
        </w:rPr>
        <w:t>40%，其中60%以上具有中级以上技术职称或高级工以上职业资格。</w:t>
      </w:r>
    </w:p>
    <w:p w14:paraId="253985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2.专任专业教师应具有食品类专业本科以上学历；任教3年以上专任专业教师，应达到“双师型”教师认证标准规定的职业资格或专业技术职务任职资格，</w:t>
      </w:r>
      <w:r>
        <w:rPr>
          <w:rFonts w:hint="eastAsia" w:asciiTheme="minorEastAsia" w:hAnsiTheme="minorEastAsia" w:eastAsiaTheme="minorEastAsia" w:cstheme="minorEastAsia"/>
          <w:sz w:val="24"/>
          <w:szCs w:val="24"/>
          <w:lang w:val="en-US" w:eastAsia="zh-CN"/>
        </w:rPr>
        <w:t>持有</w:t>
      </w:r>
      <w:r>
        <w:rPr>
          <w:rFonts w:hint="eastAsia" w:asciiTheme="minorEastAsia" w:hAnsiTheme="minorEastAsia" w:eastAsiaTheme="minorEastAsia" w:cstheme="minorEastAsia"/>
          <w:sz w:val="24"/>
          <w:szCs w:val="24"/>
          <w:lang w:val="zh-CN" w:eastAsia="zh-CN"/>
        </w:rPr>
        <w:t>西式面点师、糕点装饰师、糕点面包烘焙工、粮油食品安全评价</w:t>
      </w:r>
      <w:r>
        <w:rPr>
          <w:rFonts w:hint="eastAsia" w:asciiTheme="minorEastAsia" w:hAnsiTheme="minorEastAsia" w:eastAsiaTheme="minorEastAsia" w:cstheme="minorEastAsia"/>
          <w:sz w:val="24"/>
          <w:szCs w:val="24"/>
          <w:lang w:val="en-US" w:eastAsia="zh-CN"/>
        </w:rPr>
        <w:t>等</w:t>
      </w:r>
      <w:r>
        <w:rPr>
          <w:rFonts w:hint="eastAsia" w:asciiTheme="minorEastAsia" w:hAnsiTheme="minorEastAsia" w:eastAsiaTheme="minorEastAsia" w:cstheme="minorEastAsia"/>
          <w:sz w:val="24"/>
          <w:szCs w:val="24"/>
          <w:lang w:val="zh-CN" w:eastAsia="zh-CN"/>
        </w:rPr>
        <w:t>职业技能证书等。</w:t>
      </w:r>
    </w:p>
    <w:p w14:paraId="0D69761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专业教师具有良好的师德修养、专业能力，能够开展理实一体化教学，具有信息化教学能力。专任专业教师普遍参加教研工作、教学改革课题研究、教学竞赛、技能竞赛等活动。平均每两年到企业实践不少于2个月。兼职教师须经过教学能力专项培训，并取得合格证书，每学期承担不少于30学时的教学任务。</w:t>
      </w:r>
    </w:p>
    <w:p w14:paraId="775D29E0">
      <w:pPr>
        <w:pStyle w:val="3"/>
        <w:bidi w:val="0"/>
        <w:rPr>
          <w:rFonts w:hint="eastAsia"/>
          <w:sz w:val="24"/>
          <w:szCs w:val="24"/>
          <w:lang w:val="zh-CN" w:eastAsia="zh-CN"/>
        </w:rPr>
      </w:pPr>
      <w:bookmarkStart w:id="56" w:name="_Toc1697852670"/>
      <w:r>
        <w:rPr>
          <w:rFonts w:hint="eastAsia"/>
          <w:sz w:val="24"/>
          <w:szCs w:val="24"/>
          <w:lang w:val="zh-CN" w:eastAsia="zh-CN"/>
        </w:rPr>
        <w:t>（二）合作企业</w:t>
      </w:r>
      <w:bookmarkEnd w:id="56"/>
    </w:p>
    <w:p w14:paraId="363F1BB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lang w:val="zh-CN" w:eastAsia="zh-CN"/>
        </w:rPr>
      </w:pPr>
      <w:bookmarkStart w:id="57" w:name="_Toc32567"/>
      <w:bookmarkStart w:id="58" w:name="_Toc113290245"/>
      <w:bookmarkStart w:id="59" w:name="_Toc29010"/>
      <w:r>
        <w:rPr>
          <w:rFonts w:hint="eastAsia"/>
          <w:sz w:val="24"/>
          <w:szCs w:val="24"/>
          <w:lang w:val="en-US" w:eastAsia="zh-CN"/>
        </w:rPr>
        <w:t>安徽汇旺餐饮管理有限公司</w:t>
      </w:r>
      <w:r>
        <w:rPr>
          <w:rFonts w:hint="eastAsia"/>
          <w:sz w:val="24"/>
          <w:szCs w:val="24"/>
          <w:lang w:val="zh-CN" w:eastAsia="zh-CN"/>
        </w:rPr>
        <w:t>等。</w:t>
      </w:r>
    </w:p>
    <w:p w14:paraId="11208159">
      <w:pPr>
        <w:pStyle w:val="3"/>
        <w:bidi w:val="0"/>
        <w:rPr>
          <w:rFonts w:hint="eastAsia"/>
          <w:sz w:val="24"/>
          <w:szCs w:val="24"/>
          <w:lang w:val="zh-CN" w:eastAsia="zh-CN"/>
        </w:rPr>
      </w:pPr>
      <w:bookmarkStart w:id="60" w:name="_Toc47123354"/>
      <w:r>
        <w:rPr>
          <w:rFonts w:hint="eastAsia"/>
          <w:sz w:val="24"/>
          <w:szCs w:val="24"/>
          <w:lang w:val="zh-CN" w:eastAsia="zh-CN"/>
        </w:rPr>
        <w:t>（三）</w:t>
      </w:r>
      <w:bookmarkEnd w:id="57"/>
      <w:bookmarkEnd w:id="58"/>
      <w:bookmarkEnd w:id="59"/>
      <w:r>
        <w:rPr>
          <w:rFonts w:hint="eastAsia"/>
          <w:sz w:val="24"/>
          <w:szCs w:val="24"/>
          <w:lang w:val="zh-CN" w:eastAsia="zh-CN"/>
        </w:rPr>
        <w:t>教学设施</w:t>
      </w:r>
      <w:bookmarkEnd w:id="60"/>
    </w:p>
    <w:p w14:paraId="1B2A79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lang w:val="zh-CN" w:eastAsia="zh-CN"/>
        </w:rPr>
      </w:pPr>
      <w:r>
        <w:rPr>
          <w:rFonts w:hint="eastAsia"/>
          <w:sz w:val="24"/>
          <w:szCs w:val="24"/>
          <w:lang w:val="zh-CN" w:eastAsia="zh-CN"/>
        </w:rPr>
        <w:t>根据本专业人才培养目标的要求及课程设置的需要，本专业配备校内实训实习室和校外实训实习基地。</w:t>
      </w:r>
    </w:p>
    <w:p w14:paraId="0A5F4C62">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2" w:firstLineChars="200"/>
        <w:textAlignment w:val="auto"/>
        <w:rPr>
          <w:rFonts w:hint="eastAsia" w:ascii="宋体" w:hAnsi="宋体" w:eastAsia="宋体" w:cs="宋体"/>
          <w:b/>
          <w:bCs/>
          <w:kern w:val="0"/>
          <w:sz w:val="24"/>
          <w:szCs w:val="24"/>
          <w:lang w:val="zh-CN"/>
        </w:rPr>
      </w:pPr>
      <w:r>
        <w:rPr>
          <w:rFonts w:hint="eastAsia" w:ascii="宋体" w:hAnsi="宋体" w:eastAsia="宋体" w:cs="宋体"/>
          <w:b/>
          <w:bCs/>
          <w:kern w:val="0"/>
          <w:sz w:val="24"/>
          <w:szCs w:val="24"/>
          <w:lang w:val="zh-CN"/>
        </w:rPr>
        <w:t>1.校内实训基地</w:t>
      </w:r>
    </w:p>
    <w:p w14:paraId="45B8629C">
      <w:pPr>
        <w:keepNext w:val="0"/>
        <w:keepLines w:val="0"/>
        <w:pageBreakBefore w:val="0"/>
        <w:widowControl w:val="0"/>
        <w:numPr>
          <w:ilvl w:val="0"/>
          <w:numId w:val="0"/>
        </w:numPr>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val="0"/>
          <w:bCs w:val="0"/>
          <w:i w:val="0"/>
          <w:color w:val="000000"/>
          <w:spacing w:val="-2"/>
          <w:w w:val="99"/>
          <w:kern w:val="0"/>
          <w:position w:val="0"/>
          <w:sz w:val="24"/>
          <w:szCs w:val="24"/>
          <w:lang w:val="en-US" w:eastAsia="zh-CN"/>
        </w:rPr>
      </w:pPr>
      <w:r>
        <w:rPr>
          <w:rFonts w:hint="eastAsia" w:ascii="宋体" w:hAnsi="宋体" w:eastAsia="宋体" w:cs="宋体"/>
          <w:b w:val="0"/>
          <w:bCs w:val="0"/>
          <w:i w:val="0"/>
          <w:color w:val="000000"/>
          <w:spacing w:val="-2"/>
          <w:w w:val="99"/>
          <w:kern w:val="0"/>
          <w:position w:val="0"/>
          <w:sz w:val="24"/>
          <w:szCs w:val="24"/>
          <w:lang w:val="en-US" w:eastAsia="zh-CN"/>
        </w:rPr>
        <w:t>西点实训室</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059"/>
        <w:gridCol w:w="1421"/>
        <w:gridCol w:w="758"/>
        <w:gridCol w:w="1514"/>
        <w:gridCol w:w="1563"/>
      </w:tblGrid>
      <w:tr w14:paraId="7C4D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shd w:val="clear" w:color="auto" w:fill="D7D7D7"/>
            <w:noWrap w:val="0"/>
            <w:vAlign w:val="center"/>
          </w:tcPr>
          <w:p w14:paraId="6C9F1D9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2059" w:type="dxa"/>
            <w:shd w:val="clear" w:color="auto" w:fill="D7D7D7"/>
            <w:noWrap w:val="0"/>
            <w:vAlign w:val="center"/>
          </w:tcPr>
          <w:p w14:paraId="6BB03AC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设备名称</w:t>
            </w:r>
          </w:p>
        </w:tc>
        <w:tc>
          <w:tcPr>
            <w:tcW w:w="1421" w:type="dxa"/>
            <w:shd w:val="clear" w:color="auto" w:fill="D7D7D7"/>
            <w:noWrap w:val="0"/>
            <w:vAlign w:val="center"/>
          </w:tcPr>
          <w:p w14:paraId="2A609BF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用途</w:t>
            </w:r>
          </w:p>
        </w:tc>
        <w:tc>
          <w:tcPr>
            <w:tcW w:w="758" w:type="dxa"/>
            <w:shd w:val="clear" w:color="auto" w:fill="D7D7D7"/>
            <w:noWrap w:val="0"/>
            <w:vAlign w:val="center"/>
          </w:tcPr>
          <w:p w14:paraId="0180B90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1514" w:type="dxa"/>
            <w:shd w:val="clear" w:color="auto" w:fill="D7D7D7"/>
            <w:noWrap w:val="0"/>
            <w:vAlign w:val="center"/>
          </w:tcPr>
          <w:p w14:paraId="27A3067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基本配置</w:t>
            </w:r>
          </w:p>
        </w:tc>
        <w:tc>
          <w:tcPr>
            <w:tcW w:w="1563" w:type="dxa"/>
            <w:shd w:val="clear" w:color="auto" w:fill="D7D7D7"/>
            <w:noWrap w:val="0"/>
            <w:vAlign w:val="center"/>
          </w:tcPr>
          <w:p w14:paraId="4F16636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适用范围</w:t>
            </w:r>
          </w:p>
        </w:tc>
      </w:tr>
      <w:tr w14:paraId="1EE4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65A46F2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059" w:type="dxa"/>
            <w:noWrap w:val="0"/>
            <w:vAlign w:val="center"/>
          </w:tcPr>
          <w:p w14:paraId="11DDAB8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和面机</w:t>
            </w:r>
          </w:p>
        </w:tc>
        <w:tc>
          <w:tcPr>
            <w:tcW w:w="1421" w:type="dxa"/>
            <w:vMerge w:val="restart"/>
            <w:noWrap w:val="0"/>
            <w:vAlign w:val="center"/>
          </w:tcPr>
          <w:p w14:paraId="097D2C4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焙烤食品加工技术</w:t>
            </w:r>
          </w:p>
        </w:tc>
        <w:tc>
          <w:tcPr>
            <w:tcW w:w="758" w:type="dxa"/>
            <w:noWrap w:val="0"/>
            <w:vAlign w:val="center"/>
          </w:tcPr>
          <w:p w14:paraId="5738FD3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514" w:type="dxa"/>
            <w:noWrap w:val="0"/>
            <w:vAlign w:val="center"/>
          </w:tcPr>
          <w:p w14:paraId="172669D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563" w:type="dxa"/>
            <w:vMerge w:val="restart"/>
            <w:noWrap w:val="0"/>
            <w:vAlign w:val="center"/>
          </w:tcPr>
          <w:p w14:paraId="35A2484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《西式面点师》（中</w:t>
            </w:r>
          </w:p>
          <w:p w14:paraId="01301A7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级）</w:t>
            </w:r>
          </w:p>
        </w:tc>
      </w:tr>
      <w:tr w14:paraId="6132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76817AD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059" w:type="dxa"/>
            <w:noWrap w:val="0"/>
            <w:vAlign w:val="center"/>
          </w:tcPr>
          <w:p w14:paraId="3CFFF65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多功能打蛋机</w:t>
            </w:r>
          </w:p>
        </w:tc>
        <w:tc>
          <w:tcPr>
            <w:tcW w:w="1421" w:type="dxa"/>
            <w:vMerge w:val="continue"/>
            <w:noWrap w:val="0"/>
            <w:vAlign w:val="center"/>
          </w:tcPr>
          <w:p w14:paraId="5E40B88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38C4FD7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0743698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563" w:type="dxa"/>
            <w:vMerge w:val="continue"/>
            <w:noWrap w:val="0"/>
            <w:vAlign w:val="center"/>
          </w:tcPr>
          <w:p w14:paraId="48E6346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FD9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 w:type="dxa"/>
            <w:noWrap w:val="0"/>
            <w:vAlign w:val="center"/>
          </w:tcPr>
          <w:p w14:paraId="1CF3832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059" w:type="dxa"/>
            <w:noWrap w:val="0"/>
            <w:vAlign w:val="center"/>
          </w:tcPr>
          <w:p w14:paraId="7F9A54D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醒发箱</w:t>
            </w:r>
          </w:p>
        </w:tc>
        <w:tc>
          <w:tcPr>
            <w:tcW w:w="1421" w:type="dxa"/>
            <w:vMerge w:val="continue"/>
            <w:noWrap w:val="0"/>
            <w:vAlign w:val="center"/>
          </w:tcPr>
          <w:p w14:paraId="34A7885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65C1B19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0F5D8F6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563" w:type="dxa"/>
            <w:vMerge w:val="continue"/>
            <w:noWrap w:val="0"/>
            <w:vAlign w:val="center"/>
          </w:tcPr>
          <w:p w14:paraId="0A85134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A78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03563C3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2059" w:type="dxa"/>
            <w:noWrap w:val="0"/>
            <w:vAlign w:val="center"/>
          </w:tcPr>
          <w:p w14:paraId="62351F5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烤箱</w:t>
            </w:r>
          </w:p>
        </w:tc>
        <w:tc>
          <w:tcPr>
            <w:tcW w:w="1421" w:type="dxa"/>
            <w:vMerge w:val="continue"/>
            <w:noWrap w:val="0"/>
            <w:vAlign w:val="center"/>
          </w:tcPr>
          <w:p w14:paraId="4722ED9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6A16BE2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66EA69F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563" w:type="dxa"/>
            <w:vMerge w:val="continue"/>
            <w:noWrap w:val="0"/>
            <w:vAlign w:val="center"/>
          </w:tcPr>
          <w:p w14:paraId="682EE49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70B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4E4A710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2059" w:type="dxa"/>
            <w:noWrap w:val="0"/>
            <w:vAlign w:val="center"/>
          </w:tcPr>
          <w:p w14:paraId="1DA3ED5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冰箱</w:t>
            </w:r>
          </w:p>
        </w:tc>
        <w:tc>
          <w:tcPr>
            <w:tcW w:w="1421" w:type="dxa"/>
            <w:vMerge w:val="continue"/>
            <w:noWrap w:val="0"/>
            <w:vAlign w:val="center"/>
          </w:tcPr>
          <w:p w14:paraId="1269DD3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0A8E63C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5898E4A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563" w:type="dxa"/>
            <w:vMerge w:val="continue"/>
            <w:noWrap w:val="0"/>
            <w:vAlign w:val="center"/>
          </w:tcPr>
          <w:p w14:paraId="740B428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3F3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41C342B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2059" w:type="dxa"/>
            <w:noWrap w:val="0"/>
            <w:vAlign w:val="center"/>
          </w:tcPr>
          <w:p w14:paraId="0C8CCBA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工作台及模具</w:t>
            </w:r>
          </w:p>
        </w:tc>
        <w:tc>
          <w:tcPr>
            <w:tcW w:w="1421" w:type="dxa"/>
            <w:vMerge w:val="continue"/>
            <w:noWrap w:val="0"/>
            <w:vAlign w:val="center"/>
          </w:tcPr>
          <w:p w14:paraId="6B5E583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5D9AC5B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514" w:type="dxa"/>
            <w:noWrap w:val="0"/>
            <w:vAlign w:val="center"/>
          </w:tcPr>
          <w:p w14:paraId="0FA4DA0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80</w:t>
            </w:r>
          </w:p>
        </w:tc>
        <w:tc>
          <w:tcPr>
            <w:tcW w:w="1563" w:type="dxa"/>
            <w:vMerge w:val="continue"/>
            <w:noWrap w:val="0"/>
            <w:vAlign w:val="center"/>
          </w:tcPr>
          <w:p w14:paraId="3F61462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2A6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00838F5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2059" w:type="dxa"/>
            <w:noWrap w:val="0"/>
            <w:vAlign w:val="center"/>
          </w:tcPr>
          <w:p w14:paraId="31CCDCA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水处理器</w:t>
            </w:r>
          </w:p>
        </w:tc>
        <w:tc>
          <w:tcPr>
            <w:tcW w:w="1421" w:type="dxa"/>
            <w:vMerge w:val="continue"/>
            <w:noWrap w:val="0"/>
            <w:vAlign w:val="center"/>
          </w:tcPr>
          <w:p w14:paraId="30024E2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3CD6F58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2C79C18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563" w:type="dxa"/>
            <w:vMerge w:val="continue"/>
            <w:noWrap w:val="0"/>
            <w:vAlign w:val="center"/>
          </w:tcPr>
          <w:p w14:paraId="285C248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8AD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1687189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2059" w:type="dxa"/>
            <w:noWrap w:val="0"/>
            <w:vAlign w:val="center"/>
          </w:tcPr>
          <w:p w14:paraId="5A766A3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高配缸</w:t>
            </w:r>
          </w:p>
        </w:tc>
        <w:tc>
          <w:tcPr>
            <w:tcW w:w="1421" w:type="dxa"/>
            <w:vMerge w:val="continue"/>
            <w:noWrap w:val="0"/>
            <w:vAlign w:val="center"/>
          </w:tcPr>
          <w:p w14:paraId="61032E7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175C0C2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4267E57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563" w:type="dxa"/>
            <w:vMerge w:val="continue"/>
            <w:noWrap w:val="0"/>
            <w:vAlign w:val="center"/>
          </w:tcPr>
          <w:p w14:paraId="7D802DF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AFA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0122DC7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2059" w:type="dxa"/>
            <w:noWrap w:val="0"/>
            <w:vAlign w:val="center"/>
          </w:tcPr>
          <w:p w14:paraId="533BBFB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夹层锅</w:t>
            </w:r>
          </w:p>
        </w:tc>
        <w:tc>
          <w:tcPr>
            <w:tcW w:w="1421" w:type="dxa"/>
            <w:vMerge w:val="continue"/>
            <w:noWrap w:val="0"/>
            <w:vAlign w:val="center"/>
          </w:tcPr>
          <w:p w14:paraId="4AB4637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24009C4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6B9AA25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563" w:type="dxa"/>
            <w:vMerge w:val="continue"/>
            <w:noWrap w:val="0"/>
            <w:vAlign w:val="center"/>
          </w:tcPr>
          <w:p w14:paraId="0446285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987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2F93B18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2059" w:type="dxa"/>
            <w:noWrap w:val="0"/>
            <w:vAlign w:val="center"/>
          </w:tcPr>
          <w:p w14:paraId="5087987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紫外灭菌器</w:t>
            </w:r>
          </w:p>
        </w:tc>
        <w:tc>
          <w:tcPr>
            <w:tcW w:w="1421" w:type="dxa"/>
            <w:vMerge w:val="restart"/>
            <w:noWrap w:val="0"/>
            <w:vAlign w:val="center"/>
          </w:tcPr>
          <w:p w14:paraId="359F836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空气，器皿灭菌</w:t>
            </w:r>
          </w:p>
        </w:tc>
        <w:tc>
          <w:tcPr>
            <w:tcW w:w="758" w:type="dxa"/>
            <w:noWrap w:val="0"/>
            <w:vAlign w:val="center"/>
          </w:tcPr>
          <w:p w14:paraId="725656B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777B3A2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563" w:type="dxa"/>
            <w:vMerge w:val="continue"/>
            <w:noWrap w:val="0"/>
            <w:vAlign w:val="center"/>
          </w:tcPr>
          <w:p w14:paraId="2B9845A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392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0F281CB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2059" w:type="dxa"/>
            <w:noWrap w:val="0"/>
            <w:vAlign w:val="center"/>
          </w:tcPr>
          <w:p w14:paraId="5F4C635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干燥器</w:t>
            </w:r>
          </w:p>
        </w:tc>
        <w:tc>
          <w:tcPr>
            <w:tcW w:w="1421" w:type="dxa"/>
            <w:vMerge w:val="continue"/>
            <w:noWrap w:val="0"/>
            <w:vAlign w:val="center"/>
          </w:tcPr>
          <w:p w14:paraId="1A675E1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2FE74A7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05647F7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563" w:type="dxa"/>
            <w:vMerge w:val="continue"/>
            <w:noWrap w:val="0"/>
            <w:vAlign w:val="center"/>
          </w:tcPr>
          <w:p w14:paraId="7BB5E5E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FA4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03DF5A1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2059" w:type="dxa"/>
            <w:noWrap w:val="0"/>
            <w:vAlign w:val="center"/>
          </w:tcPr>
          <w:p w14:paraId="4B0C74E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灭菌锅</w:t>
            </w:r>
          </w:p>
        </w:tc>
        <w:tc>
          <w:tcPr>
            <w:tcW w:w="1421" w:type="dxa"/>
            <w:vMerge w:val="continue"/>
            <w:noWrap w:val="0"/>
            <w:vAlign w:val="center"/>
          </w:tcPr>
          <w:p w14:paraId="5DCB0BE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58" w:type="dxa"/>
            <w:noWrap w:val="0"/>
            <w:vAlign w:val="center"/>
          </w:tcPr>
          <w:p w14:paraId="5CF264E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514" w:type="dxa"/>
            <w:noWrap w:val="0"/>
            <w:vAlign w:val="center"/>
          </w:tcPr>
          <w:p w14:paraId="6B8F91A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563" w:type="dxa"/>
            <w:vMerge w:val="continue"/>
            <w:noWrap w:val="0"/>
            <w:vAlign w:val="center"/>
          </w:tcPr>
          <w:p w14:paraId="45C04DE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bl>
    <w:p w14:paraId="209B1B8D">
      <w:pPr>
        <w:keepNext w:val="0"/>
        <w:keepLines w:val="0"/>
        <w:pageBreakBefore w:val="0"/>
        <w:widowControl w:val="0"/>
        <w:numPr>
          <w:ilvl w:val="0"/>
          <w:numId w:val="0"/>
        </w:numPr>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val="0"/>
          <w:bCs w:val="0"/>
          <w:i w:val="0"/>
          <w:color w:val="000000"/>
          <w:spacing w:val="-2"/>
          <w:w w:val="99"/>
          <w:kern w:val="0"/>
          <w:position w:val="0"/>
          <w:sz w:val="24"/>
          <w:szCs w:val="24"/>
          <w:lang w:val="en-US" w:eastAsia="zh-CN"/>
        </w:rPr>
      </w:pPr>
    </w:p>
    <w:p w14:paraId="53860BB2">
      <w:pPr>
        <w:keepNext w:val="0"/>
        <w:keepLines w:val="0"/>
        <w:pageBreakBefore w:val="0"/>
        <w:widowControl w:val="0"/>
        <w:numPr>
          <w:ilvl w:val="0"/>
          <w:numId w:val="0"/>
        </w:numPr>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bCs/>
          <w:i w:val="0"/>
          <w:color w:val="000000"/>
          <w:spacing w:val="-2"/>
          <w:w w:val="99"/>
          <w:kern w:val="0"/>
          <w:position w:val="0"/>
          <w:sz w:val="24"/>
          <w:szCs w:val="24"/>
          <w:lang w:val="en-US" w:eastAsia="zh-CN"/>
        </w:rPr>
      </w:pPr>
      <w:r>
        <w:rPr>
          <w:rFonts w:hint="eastAsia" w:ascii="宋体" w:hAnsi="宋体" w:eastAsia="宋体" w:cs="宋体"/>
          <w:b w:val="0"/>
          <w:bCs w:val="0"/>
          <w:i w:val="0"/>
          <w:color w:val="000000"/>
          <w:spacing w:val="-2"/>
          <w:w w:val="99"/>
          <w:kern w:val="0"/>
          <w:position w:val="0"/>
          <w:sz w:val="24"/>
          <w:szCs w:val="24"/>
          <w:lang w:val="en-US" w:eastAsia="zh-CN"/>
        </w:rPr>
        <w:t>理化检验检测实训室</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2425"/>
        <w:gridCol w:w="1000"/>
        <w:gridCol w:w="763"/>
        <w:gridCol w:w="1200"/>
        <w:gridCol w:w="1949"/>
      </w:tblGrid>
      <w:tr w14:paraId="0445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shd w:val="clear" w:color="auto" w:fill="D7D7D7"/>
            <w:noWrap w:val="0"/>
            <w:vAlign w:val="center"/>
          </w:tcPr>
          <w:p w14:paraId="08A3B3A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2425" w:type="dxa"/>
            <w:shd w:val="clear" w:color="auto" w:fill="D7D7D7"/>
            <w:noWrap w:val="0"/>
            <w:vAlign w:val="center"/>
          </w:tcPr>
          <w:p w14:paraId="152F8B2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设备名称</w:t>
            </w:r>
          </w:p>
        </w:tc>
        <w:tc>
          <w:tcPr>
            <w:tcW w:w="1000" w:type="dxa"/>
            <w:shd w:val="clear" w:color="auto" w:fill="D7D7D7"/>
            <w:noWrap w:val="0"/>
            <w:vAlign w:val="center"/>
          </w:tcPr>
          <w:p w14:paraId="3866F45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用途</w:t>
            </w:r>
          </w:p>
        </w:tc>
        <w:tc>
          <w:tcPr>
            <w:tcW w:w="763" w:type="dxa"/>
            <w:shd w:val="clear" w:color="auto" w:fill="D7D7D7"/>
            <w:noWrap w:val="0"/>
            <w:vAlign w:val="center"/>
          </w:tcPr>
          <w:p w14:paraId="611A362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1200" w:type="dxa"/>
            <w:shd w:val="clear" w:color="auto" w:fill="D7D7D7"/>
            <w:noWrap w:val="0"/>
            <w:vAlign w:val="center"/>
          </w:tcPr>
          <w:p w14:paraId="36954CF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基本配置</w:t>
            </w:r>
          </w:p>
        </w:tc>
        <w:tc>
          <w:tcPr>
            <w:tcW w:w="1949" w:type="dxa"/>
            <w:shd w:val="clear" w:color="auto" w:fill="D7D7D7"/>
            <w:noWrap w:val="0"/>
            <w:vAlign w:val="center"/>
          </w:tcPr>
          <w:p w14:paraId="75A05D3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适用范围</w:t>
            </w:r>
          </w:p>
        </w:tc>
      </w:tr>
      <w:tr w14:paraId="5785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0CC12D9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425" w:type="dxa"/>
            <w:noWrap w:val="0"/>
            <w:vAlign w:val="center"/>
          </w:tcPr>
          <w:p w14:paraId="6BEBE55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试验操作台</w:t>
            </w:r>
          </w:p>
        </w:tc>
        <w:tc>
          <w:tcPr>
            <w:tcW w:w="1000" w:type="dxa"/>
            <w:vMerge w:val="restart"/>
            <w:noWrap w:val="0"/>
            <w:vAlign w:val="center"/>
          </w:tcPr>
          <w:p w14:paraId="34C6B6C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酸碱标准溶液的配制和标定</w:t>
            </w:r>
          </w:p>
        </w:tc>
        <w:tc>
          <w:tcPr>
            <w:tcW w:w="763" w:type="dxa"/>
            <w:noWrap w:val="0"/>
            <w:vAlign w:val="center"/>
          </w:tcPr>
          <w:p w14:paraId="269B1F0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F9C434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restart"/>
            <w:noWrap w:val="0"/>
            <w:vAlign w:val="center"/>
          </w:tcPr>
          <w:p w14:paraId="7C7D3DA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《食品质量检验员》（四、五级）</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《食品检验工》（中级）</w:t>
            </w:r>
          </w:p>
        </w:tc>
      </w:tr>
      <w:tr w14:paraId="06F3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216562F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425" w:type="dxa"/>
            <w:noWrap w:val="0"/>
            <w:vAlign w:val="center"/>
          </w:tcPr>
          <w:p w14:paraId="5ED8B22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continue"/>
            <w:noWrap w:val="0"/>
            <w:vAlign w:val="center"/>
          </w:tcPr>
          <w:p w14:paraId="2AFFAE2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F665CE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46A961C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3FA9BE9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91C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5" w:type="dxa"/>
            <w:noWrap w:val="0"/>
            <w:vAlign w:val="center"/>
          </w:tcPr>
          <w:p w14:paraId="56C2C36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425" w:type="dxa"/>
            <w:noWrap w:val="0"/>
            <w:vAlign w:val="center"/>
          </w:tcPr>
          <w:p w14:paraId="231F886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06003CA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1E314F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200" w:type="dxa"/>
            <w:noWrap w:val="0"/>
            <w:vAlign w:val="center"/>
          </w:tcPr>
          <w:p w14:paraId="268E897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4F968BC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A20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08BD3E1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2425" w:type="dxa"/>
            <w:noWrap w:val="0"/>
            <w:vAlign w:val="center"/>
          </w:tcPr>
          <w:p w14:paraId="5C13875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仪器室专用台</w:t>
            </w:r>
          </w:p>
        </w:tc>
        <w:tc>
          <w:tcPr>
            <w:tcW w:w="1000" w:type="dxa"/>
            <w:vMerge w:val="continue"/>
            <w:noWrap w:val="0"/>
            <w:vAlign w:val="center"/>
          </w:tcPr>
          <w:p w14:paraId="53387DA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E4BEEA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5ABDD6A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18A7665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91B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6E3807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2425" w:type="dxa"/>
            <w:noWrap w:val="0"/>
            <w:vAlign w:val="center"/>
          </w:tcPr>
          <w:p w14:paraId="58D5F97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采样器</w:t>
            </w:r>
          </w:p>
        </w:tc>
        <w:tc>
          <w:tcPr>
            <w:tcW w:w="1000" w:type="dxa"/>
            <w:vMerge w:val="restart"/>
            <w:noWrap w:val="0"/>
            <w:vAlign w:val="center"/>
          </w:tcPr>
          <w:p w14:paraId="252F81E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产品抽样、秤</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取</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样,检验样品制备</w:t>
            </w:r>
          </w:p>
        </w:tc>
        <w:tc>
          <w:tcPr>
            <w:tcW w:w="763" w:type="dxa"/>
            <w:noWrap w:val="0"/>
            <w:vAlign w:val="center"/>
          </w:tcPr>
          <w:p w14:paraId="3F7C573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37853A9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949" w:type="dxa"/>
            <w:vMerge w:val="restart"/>
            <w:noWrap w:val="0"/>
            <w:vAlign w:val="center"/>
          </w:tcPr>
          <w:p w14:paraId="4C7A7B2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《食品质量检验员》（四、五级）、《食品检验工》（中级）</w:t>
            </w:r>
          </w:p>
        </w:tc>
      </w:tr>
      <w:tr w14:paraId="1F70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C4F655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2425" w:type="dxa"/>
            <w:noWrap w:val="0"/>
            <w:vAlign w:val="center"/>
          </w:tcPr>
          <w:p w14:paraId="264174C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粉碎机</w:t>
            </w:r>
          </w:p>
        </w:tc>
        <w:tc>
          <w:tcPr>
            <w:tcW w:w="1000" w:type="dxa"/>
            <w:vMerge w:val="continue"/>
            <w:noWrap w:val="0"/>
            <w:vAlign w:val="center"/>
          </w:tcPr>
          <w:p w14:paraId="6B04393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F20317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2ED7FF7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43933D6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947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5" w:type="dxa"/>
            <w:noWrap w:val="0"/>
            <w:vAlign w:val="center"/>
          </w:tcPr>
          <w:p w14:paraId="44667E6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2425" w:type="dxa"/>
            <w:noWrap w:val="0"/>
            <w:vAlign w:val="center"/>
          </w:tcPr>
          <w:p w14:paraId="22BDBD1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7730D0F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4275E9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200" w:type="dxa"/>
            <w:noWrap w:val="0"/>
            <w:vAlign w:val="center"/>
          </w:tcPr>
          <w:p w14:paraId="63D5C7B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28D34CB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A17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7EA98D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2425" w:type="dxa"/>
            <w:noWrap w:val="0"/>
            <w:vAlign w:val="center"/>
          </w:tcPr>
          <w:p w14:paraId="3EF1845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离心机</w:t>
            </w:r>
          </w:p>
        </w:tc>
        <w:tc>
          <w:tcPr>
            <w:tcW w:w="1000" w:type="dxa"/>
            <w:vMerge w:val="continue"/>
            <w:noWrap w:val="0"/>
            <w:vAlign w:val="center"/>
          </w:tcPr>
          <w:p w14:paraId="5903F46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99B3B4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200" w:type="dxa"/>
            <w:noWrap w:val="0"/>
            <w:vAlign w:val="center"/>
          </w:tcPr>
          <w:p w14:paraId="39AA24F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4258126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DB4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EB3394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2425" w:type="dxa"/>
            <w:noWrap w:val="0"/>
            <w:vAlign w:val="center"/>
          </w:tcPr>
          <w:p w14:paraId="529CECA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过滤器</w:t>
            </w:r>
          </w:p>
        </w:tc>
        <w:tc>
          <w:tcPr>
            <w:tcW w:w="1000" w:type="dxa"/>
            <w:vMerge w:val="continue"/>
            <w:noWrap w:val="0"/>
            <w:vAlign w:val="center"/>
          </w:tcPr>
          <w:p w14:paraId="67B71D5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D41B09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319804E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56C3E41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7B3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1FDB09E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2425" w:type="dxa"/>
            <w:noWrap w:val="0"/>
            <w:vAlign w:val="center"/>
          </w:tcPr>
          <w:p w14:paraId="09666A7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消解炉</w:t>
            </w:r>
          </w:p>
        </w:tc>
        <w:tc>
          <w:tcPr>
            <w:tcW w:w="1000" w:type="dxa"/>
            <w:vMerge w:val="continue"/>
            <w:noWrap w:val="0"/>
            <w:vAlign w:val="center"/>
          </w:tcPr>
          <w:p w14:paraId="6B59886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906205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200" w:type="dxa"/>
            <w:noWrap w:val="0"/>
            <w:vAlign w:val="center"/>
          </w:tcPr>
          <w:p w14:paraId="093D7C0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03C4153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40B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47E3786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2425" w:type="dxa"/>
            <w:noWrap w:val="0"/>
            <w:vAlign w:val="center"/>
          </w:tcPr>
          <w:p w14:paraId="235E1B6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试验操作台</w:t>
            </w:r>
          </w:p>
        </w:tc>
        <w:tc>
          <w:tcPr>
            <w:tcW w:w="1000" w:type="dxa"/>
            <w:vMerge w:val="restart"/>
            <w:noWrap w:val="0"/>
            <w:vAlign w:val="center"/>
          </w:tcPr>
          <w:p w14:paraId="39227FD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酸度计、电导仪的使用</w:t>
            </w:r>
          </w:p>
        </w:tc>
        <w:tc>
          <w:tcPr>
            <w:tcW w:w="763" w:type="dxa"/>
            <w:noWrap w:val="0"/>
            <w:vAlign w:val="center"/>
          </w:tcPr>
          <w:p w14:paraId="3E7B12F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38CC620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DAEDBF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985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7CAB9E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2425" w:type="dxa"/>
            <w:noWrap w:val="0"/>
            <w:vAlign w:val="center"/>
          </w:tcPr>
          <w:p w14:paraId="02AB979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continue"/>
            <w:noWrap w:val="0"/>
            <w:vAlign w:val="center"/>
          </w:tcPr>
          <w:p w14:paraId="31A7F8E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7AB201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2EF67B9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0CB2FF7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A3A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75" w:type="dxa"/>
            <w:noWrap w:val="0"/>
            <w:vAlign w:val="center"/>
          </w:tcPr>
          <w:p w14:paraId="574D73A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p>
        </w:tc>
        <w:tc>
          <w:tcPr>
            <w:tcW w:w="2425" w:type="dxa"/>
            <w:noWrap w:val="0"/>
            <w:vAlign w:val="center"/>
          </w:tcPr>
          <w:p w14:paraId="1744108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6B9A2A8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39A61B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D9D101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60045C4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983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75" w:type="dxa"/>
            <w:noWrap w:val="0"/>
            <w:vAlign w:val="center"/>
          </w:tcPr>
          <w:p w14:paraId="32D3E7E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p>
        </w:tc>
        <w:tc>
          <w:tcPr>
            <w:tcW w:w="2425" w:type="dxa"/>
            <w:noWrap w:val="0"/>
            <w:vAlign w:val="center"/>
          </w:tcPr>
          <w:p w14:paraId="7192EF0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仪器室专用台</w:t>
            </w:r>
          </w:p>
        </w:tc>
        <w:tc>
          <w:tcPr>
            <w:tcW w:w="1000" w:type="dxa"/>
            <w:vMerge w:val="continue"/>
            <w:noWrap w:val="0"/>
            <w:vAlign w:val="center"/>
          </w:tcPr>
          <w:p w14:paraId="5B81559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D63AEF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E60741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40D934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E4C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4DFA5A1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w:t>
            </w:r>
          </w:p>
        </w:tc>
        <w:tc>
          <w:tcPr>
            <w:tcW w:w="2425" w:type="dxa"/>
            <w:noWrap w:val="0"/>
            <w:vAlign w:val="center"/>
          </w:tcPr>
          <w:p w14:paraId="4E95259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酸度计</w:t>
            </w:r>
          </w:p>
        </w:tc>
        <w:tc>
          <w:tcPr>
            <w:tcW w:w="1000" w:type="dxa"/>
            <w:vMerge w:val="continue"/>
            <w:noWrap w:val="0"/>
            <w:vAlign w:val="center"/>
          </w:tcPr>
          <w:p w14:paraId="0B86AA6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97585A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285CF7B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w:t>
            </w:r>
          </w:p>
        </w:tc>
        <w:tc>
          <w:tcPr>
            <w:tcW w:w="1949" w:type="dxa"/>
            <w:vMerge w:val="continue"/>
            <w:noWrap w:val="0"/>
            <w:vAlign w:val="center"/>
          </w:tcPr>
          <w:p w14:paraId="6F6F663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F47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0948185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w:t>
            </w:r>
          </w:p>
        </w:tc>
        <w:tc>
          <w:tcPr>
            <w:tcW w:w="2425" w:type="dxa"/>
            <w:noWrap w:val="0"/>
            <w:vAlign w:val="center"/>
          </w:tcPr>
          <w:p w14:paraId="1AC72A4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电导仪</w:t>
            </w:r>
          </w:p>
        </w:tc>
        <w:tc>
          <w:tcPr>
            <w:tcW w:w="1000" w:type="dxa"/>
            <w:vMerge w:val="continue"/>
            <w:noWrap w:val="0"/>
            <w:vAlign w:val="center"/>
          </w:tcPr>
          <w:p w14:paraId="2EE213D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EEE054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7DEBBBE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w:t>
            </w:r>
          </w:p>
        </w:tc>
        <w:tc>
          <w:tcPr>
            <w:tcW w:w="1949" w:type="dxa"/>
            <w:vMerge w:val="continue"/>
            <w:noWrap w:val="0"/>
            <w:vAlign w:val="center"/>
          </w:tcPr>
          <w:p w14:paraId="681046E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3D0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75" w:type="dxa"/>
            <w:noWrap w:val="0"/>
            <w:vAlign w:val="center"/>
          </w:tcPr>
          <w:p w14:paraId="067595B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17</w:t>
            </w:r>
          </w:p>
        </w:tc>
        <w:tc>
          <w:tcPr>
            <w:tcW w:w="2425" w:type="dxa"/>
            <w:noWrap w:val="0"/>
            <w:vAlign w:val="center"/>
          </w:tcPr>
          <w:p w14:paraId="4059136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仪器室专用台</w:t>
            </w:r>
          </w:p>
        </w:tc>
        <w:tc>
          <w:tcPr>
            <w:tcW w:w="1000" w:type="dxa"/>
            <w:vMerge w:val="restart"/>
            <w:noWrap w:val="0"/>
            <w:vAlign w:val="center"/>
          </w:tcPr>
          <w:p w14:paraId="7F46C21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折光计的使用</w:t>
            </w:r>
          </w:p>
        </w:tc>
        <w:tc>
          <w:tcPr>
            <w:tcW w:w="763" w:type="dxa"/>
            <w:noWrap w:val="0"/>
            <w:vAlign w:val="center"/>
          </w:tcPr>
          <w:p w14:paraId="7FC7B56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16CA21C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0CCC9F1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1CB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31CC80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w:t>
            </w:r>
          </w:p>
        </w:tc>
        <w:tc>
          <w:tcPr>
            <w:tcW w:w="2425" w:type="dxa"/>
            <w:noWrap w:val="0"/>
            <w:vAlign w:val="center"/>
          </w:tcPr>
          <w:p w14:paraId="1CAE0A3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continue"/>
            <w:noWrap w:val="0"/>
            <w:vAlign w:val="center"/>
          </w:tcPr>
          <w:p w14:paraId="221C1FB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B55DEA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439483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30BD47E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7DF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0E4639A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19</w:t>
            </w:r>
          </w:p>
        </w:tc>
        <w:tc>
          <w:tcPr>
            <w:tcW w:w="2425" w:type="dxa"/>
            <w:noWrap w:val="0"/>
            <w:vAlign w:val="center"/>
          </w:tcPr>
          <w:p w14:paraId="4BD33FD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数字阿贝折射仪</w:t>
            </w:r>
          </w:p>
        </w:tc>
        <w:tc>
          <w:tcPr>
            <w:tcW w:w="1000" w:type="dxa"/>
            <w:vMerge w:val="continue"/>
            <w:noWrap w:val="0"/>
            <w:vAlign w:val="center"/>
          </w:tcPr>
          <w:p w14:paraId="15EBC66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562C42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3CC2DC5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4606FD2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DC9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75" w:type="dxa"/>
            <w:noWrap w:val="0"/>
            <w:vAlign w:val="center"/>
          </w:tcPr>
          <w:p w14:paraId="39F1342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2425" w:type="dxa"/>
            <w:noWrap w:val="0"/>
            <w:vAlign w:val="center"/>
          </w:tcPr>
          <w:p w14:paraId="53866ED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数显自动旋光仪</w:t>
            </w:r>
          </w:p>
        </w:tc>
        <w:tc>
          <w:tcPr>
            <w:tcW w:w="1000" w:type="dxa"/>
            <w:vMerge w:val="continue"/>
            <w:noWrap w:val="0"/>
            <w:vAlign w:val="center"/>
          </w:tcPr>
          <w:p w14:paraId="0257AAF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48BC36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4880E62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74106DA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580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75" w:type="dxa"/>
            <w:noWrap w:val="0"/>
            <w:vAlign w:val="center"/>
          </w:tcPr>
          <w:p w14:paraId="10A38F9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21</w:t>
            </w:r>
          </w:p>
        </w:tc>
        <w:tc>
          <w:tcPr>
            <w:tcW w:w="2425" w:type="dxa"/>
            <w:noWrap w:val="0"/>
            <w:vAlign w:val="center"/>
          </w:tcPr>
          <w:p w14:paraId="3D812B8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restart"/>
            <w:noWrap w:val="0"/>
            <w:vAlign w:val="center"/>
          </w:tcPr>
          <w:p w14:paraId="42D7EA6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食品中水分含量的测定</w:t>
            </w:r>
          </w:p>
        </w:tc>
        <w:tc>
          <w:tcPr>
            <w:tcW w:w="763" w:type="dxa"/>
            <w:noWrap w:val="0"/>
            <w:vAlign w:val="center"/>
          </w:tcPr>
          <w:p w14:paraId="5CA2A74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F5BBA5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4C71CFF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517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4175484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w:t>
            </w:r>
          </w:p>
        </w:tc>
        <w:tc>
          <w:tcPr>
            <w:tcW w:w="2425" w:type="dxa"/>
            <w:noWrap w:val="0"/>
            <w:vAlign w:val="center"/>
          </w:tcPr>
          <w:p w14:paraId="7A36766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干燥箱</w:t>
            </w:r>
          </w:p>
        </w:tc>
        <w:tc>
          <w:tcPr>
            <w:tcW w:w="1000" w:type="dxa"/>
            <w:vMerge w:val="continue"/>
            <w:noWrap w:val="0"/>
            <w:vAlign w:val="center"/>
          </w:tcPr>
          <w:p w14:paraId="1374757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52C843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61050B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21787F0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9C5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6141A58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23</w:t>
            </w:r>
          </w:p>
        </w:tc>
        <w:tc>
          <w:tcPr>
            <w:tcW w:w="2425" w:type="dxa"/>
            <w:noWrap w:val="0"/>
            <w:vAlign w:val="center"/>
          </w:tcPr>
          <w:p w14:paraId="4943B6D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1E8E6E8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956E05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67E8C93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4E4AEFE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386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260CDFE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24</w:t>
            </w:r>
          </w:p>
        </w:tc>
        <w:tc>
          <w:tcPr>
            <w:tcW w:w="2425" w:type="dxa"/>
            <w:noWrap w:val="0"/>
            <w:vAlign w:val="center"/>
          </w:tcPr>
          <w:p w14:paraId="7BF2773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电导率分析仪</w:t>
            </w:r>
          </w:p>
        </w:tc>
        <w:tc>
          <w:tcPr>
            <w:tcW w:w="1000" w:type="dxa"/>
            <w:vMerge w:val="continue"/>
            <w:noWrap w:val="0"/>
            <w:vAlign w:val="center"/>
          </w:tcPr>
          <w:p w14:paraId="7825A6B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9972CD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2E4A1D8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949" w:type="dxa"/>
            <w:vMerge w:val="continue"/>
            <w:noWrap w:val="0"/>
            <w:vAlign w:val="center"/>
          </w:tcPr>
          <w:p w14:paraId="6793368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85D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607E30C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w:t>
            </w:r>
          </w:p>
        </w:tc>
        <w:tc>
          <w:tcPr>
            <w:tcW w:w="2425" w:type="dxa"/>
            <w:noWrap w:val="0"/>
            <w:vAlign w:val="center"/>
          </w:tcPr>
          <w:p w14:paraId="2CAA98F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多用途微电脑测定仪</w:t>
            </w:r>
          </w:p>
        </w:tc>
        <w:tc>
          <w:tcPr>
            <w:tcW w:w="1000" w:type="dxa"/>
            <w:vMerge w:val="continue"/>
            <w:noWrap w:val="0"/>
            <w:vAlign w:val="center"/>
          </w:tcPr>
          <w:p w14:paraId="07EF424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1BEEB9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1F68B6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949" w:type="dxa"/>
            <w:vMerge w:val="continue"/>
            <w:noWrap w:val="0"/>
            <w:vAlign w:val="center"/>
          </w:tcPr>
          <w:p w14:paraId="4EB38EF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51D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1F7FBB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26</w:t>
            </w:r>
          </w:p>
        </w:tc>
        <w:tc>
          <w:tcPr>
            <w:tcW w:w="2425" w:type="dxa"/>
            <w:noWrap w:val="0"/>
            <w:vAlign w:val="center"/>
          </w:tcPr>
          <w:p w14:paraId="7FBED13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坩埚</w:t>
            </w:r>
          </w:p>
        </w:tc>
        <w:tc>
          <w:tcPr>
            <w:tcW w:w="1000" w:type="dxa"/>
            <w:vMerge w:val="restart"/>
            <w:noWrap w:val="0"/>
            <w:vAlign w:val="center"/>
          </w:tcPr>
          <w:p w14:paraId="58B630E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食品中灰分含量的测定</w:t>
            </w:r>
          </w:p>
        </w:tc>
        <w:tc>
          <w:tcPr>
            <w:tcW w:w="763" w:type="dxa"/>
            <w:noWrap w:val="0"/>
            <w:vAlign w:val="center"/>
          </w:tcPr>
          <w:p w14:paraId="6E0BF3A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362BEBF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B83220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D4A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255FC13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27</w:t>
            </w:r>
          </w:p>
        </w:tc>
        <w:tc>
          <w:tcPr>
            <w:tcW w:w="2425" w:type="dxa"/>
            <w:noWrap w:val="0"/>
            <w:vAlign w:val="center"/>
          </w:tcPr>
          <w:p w14:paraId="1774DF3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离心机</w:t>
            </w:r>
          </w:p>
        </w:tc>
        <w:tc>
          <w:tcPr>
            <w:tcW w:w="1000" w:type="dxa"/>
            <w:vMerge w:val="continue"/>
            <w:noWrap w:val="0"/>
            <w:vAlign w:val="center"/>
          </w:tcPr>
          <w:p w14:paraId="417DADE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5DCF15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7196F4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0F00F7D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CCC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282EEF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28</w:t>
            </w:r>
          </w:p>
        </w:tc>
        <w:tc>
          <w:tcPr>
            <w:tcW w:w="2425" w:type="dxa"/>
            <w:noWrap w:val="0"/>
            <w:vAlign w:val="center"/>
          </w:tcPr>
          <w:p w14:paraId="46CE3F7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高温电炉</w:t>
            </w:r>
          </w:p>
        </w:tc>
        <w:tc>
          <w:tcPr>
            <w:tcW w:w="1000" w:type="dxa"/>
            <w:vMerge w:val="continue"/>
            <w:noWrap w:val="0"/>
            <w:vAlign w:val="center"/>
          </w:tcPr>
          <w:p w14:paraId="3AD04D3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E6D8C0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79F610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6D6A3E5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B29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B044EE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29</w:t>
            </w:r>
          </w:p>
        </w:tc>
        <w:tc>
          <w:tcPr>
            <w:tcW w:w="2425" w:type="dxa"/>
            <w:noWrap w:val="0"/>
            <w:vAlign w:val="center"/>
          </w:tcPr>
          <w:p w14:paraId="41C5103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粉碎机</w:t>
            </w:r>
          </w:p>
        </w:tc>
        <w:tc>
          <w:tcPr>
            <w:tcW w:w="1000" w:type="dxa"/>
            <w:vMerge w:val="continue"/>
            <w:noWrap w:val="0"/>
            <w:vAlign w:val="center"/>
          </w:tcPr>
          <w:p w14:paraId="620EE9A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F5DC31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6ABFF9E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47F3C3C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78F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1F7B82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w:t>
            </w:r>
          </w:p>
        </w:tc>
        <w:tc>
          <w:tcPr>
            <w:tcW w:w="2425" w:type="dxa"/>
            <w:noWrap w:val="0"/>
            <w:vAlign w:val="center"/>
          </w:tcPr>
          <w:p w14:paraId="6FAFF47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00C9E6C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ACEDC1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4DCB119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249EF34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417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6C2E498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31</w:t>
            </w:r>
          </w:p>
        </w:tc>
        <w:tc>
          <w:tcPr>
            <w:tcW w:w="2425" w:type="dxa"/>
            <w:noWrap w:val="0"/>
            <w:vAlign w:val="center"/>
          </w:tcPr>
          <w:p w14:paraId="2BECBF4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restart"/>
            <w:noWrap w:val="0"/>
            <w:vAlign w:val="center"/>
          </w:tcPr>
          <w:p w14:paraId="36A8B84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食品中脂肪含量的测定</w:t>
            </w:r>
          </w:p>
        </w:tc>
        <w:tc>
          <w:tcPr>
            <w:tcW w:w="763" w:type="dxa"/>
            <w:noWrap w:val="0"/>
            <w:vAlign w:val="center"/>
          </w:tcPr>
          <w:p w14:paraId="3765468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6236CE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4FABEB9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74D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987F98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w:t>
            </w:r>
          </w:p>
        </w:tc>
        <w:tc>
          <w:tcPr>
            <w:tcW w:w="2425" w:type="dxa"/>
            <w:noWrap w:val="0"/>
            <w:vAlign w:val="center"/>
          </w:tcPr>
          <w:p w14:paraId="4FBE035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索氏抽提器</w:t>
            </w:r>
          </w:p>
        </w:tc>
        <w:tc>
          <w:tcPr>
            <w:tcW w:w="1000" w:type="dxa"/>
            <w:vMerge w:val="continue"/>
            <w:noWrap w:val="0"/>
            <w:vAlign w:val="center"/>
          </w:tcPr>
          <w:p w14:paraId="6599F76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ADC63A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04CBA46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52EC20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86B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162B732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33</w:t>
            </w:r>
          </w:p>
        </w:tc>
        <w:tc>
          <w:tcPr>
            <w:tcW w:w="2425" w:type="dxa"/>
            <w:noWrap w:val="0"/>
            <w:vAlign w:val="center"/>
          </w:tcPr>
          <w:p w14:paraId="633A30F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干燥箱</w:t>
            </w:r>
          </w:p>
        </w:tc>
        <w:tc>
          <w:tcPr>
            <w:tcW w:w="1000" w:type="dxa"/>
            <w:vMerge w:val="continue"/>
            <w:noWrap w:val="0"/>
            <w:vAlign w:val="center"/>
          </w:tcPr>
          <w:p w14:paraId="26DC855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118932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7E62E07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3C15BBE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487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4055B66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34</w:t>
            </w:r>
          </w:p>
        </w:tc>
        <w:tc>
          <w:tcPr>
            <w:tcW w:w="2425" w:type="dxa"/>
            <w:noWrap w:val="0"/>
            <w:vAlign w:val="center"/>
          </w:tcPr>
          <w:p w14:paraId="52D3214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水浴炉</w:t>
            </w:r>
          </w:p>
        </w:tc>
        <w:tc>
          <w:tcPr>
            <w:tcW w:w="1000" w:type="dxa"/>
            <w:vMerge w:val="continue"/>
            <w:noWrap w:val="0"/>
            <w:vAlign w:val="center"/>
          </w:tcPr>
          <w:p w14:paraId="6452B3E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39656C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72ACFE7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49" w:type="dxa"/>
            <w:vMerge w:val="continue"/>
            <w:noWrap w:val="0"/>
            <w:vAlign w:val="center"/>
          </w:tcPr>
          <w:p w14:paraId="4E94BCA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2FB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0DFEACA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35</w:t>
            </w:r>
          </w:p>
        </w:tc>
        <w:tc>
          <w:tcPr>
            <w:tcW w:w="2425" w:type="dxa"/>
            <w:noWrap w:val="0"/>
            <w:vAlign w:val="center"/>
          </w:tcPr>
          <w:p w14:paraId="321365F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6014CD6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2F18E8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E2D5BC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28FE45D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2B0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27C5CE9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w:t>
            </w:r>
          </w:p>
        </w:tc>
        <w:tc>
          <w:tcPr>
            <w:tcW w:w="2425" w:type="dxa"/>
            <w:noWrap w:val="0"/>
            <w:vAlign w:val="center"/>
          </w:tcPr>
          <w:p w14:paraId="1DC2323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restart"/>
            <w:noWrap w:val="0"/>
            <w:vAlign w:val="center"/>
          </w:tcPr>
          <w:p w14:paraId="5A7EE88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油脂酸价、过氧化值的测定</w:t>
            </w:r>
          </w:p>
        </w:tc>
        <w:tc>
          <w:tcPr>
            <w:tcW w:w="763" w:type="dxa"/>
            <w:noWrap w:val="0"/>
            <w:vAlign w:val="center"/>
          </w:tcPr>
          <w:p w14:paraId="02A50F4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0DA9993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restart"/>
            <w:noWrap w:val="0"/>
            <w:vAlign w:val="center"/>
          </w:tcPr>
          <w:p w14:paraId="541A613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《食品质量检验员》（四、五级）、《食品检验工》（中级）</w:t>
            </w:r>
          </w:p>
        </w:tc>
      </w:tr>
      <w:tr w14:paraId="2C44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435C45C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37</w:t>
            </w:r>
          </w:p>
        </w:tc>
        <w:tc>
          <w:tcPr>
            <w:tcW w:w="2425" w:type="dxa"/>
            <w:noWrap w:val="0"/>
            <w:vAlign w:val="center"/>
          </w:tcPr>
          <w:p w14:paraId="14A025F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51E6704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EB8CCE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4674C0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3ED5953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D1F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6589F90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38</w:t>
            </w:r>
          </w:p>
        </w:tc>
        <w:tc>
          <w:tcPr>
            <w:tcW w:w="2425" w:type="dxa"/>
            <w:noWrap w:val="0"/>
            <w:vAlign w:val="center"/>
          </w:tcPr>
          <w:p w14:paraId="21FCB1D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滴定装置</w:t>
            </w:r>
          </w:p>
        </w:tc>
        <w:tc>
          <w:tcPr>
            <w:tcW w:w="1000" w:type="dxa"/>
            <w:vMerge w:val="continue"/>
            <w:noWrap w:val="0"/>
            <w:vAlign w:val="center"/>
          </w:tcPr>
          <w:p w14:paraId="6FC7A51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809FB7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00A5078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18FF1B6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A70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049E081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39</w:t>
            </w:r>
          </w:p>
        </w:tc>
        <w:tc>
          <w:tcPr>
            <w:tcW w:w="2425" w:type="dxa"/>
            <w:noWrap w:val="0"/>
            <w:vAlign w:val="center"/>
          </w:tcPr>
          <w:p w14:paraId="6D11E50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restart"/>
            <w:noWrap w:val="0"/>
            <w:vAlign w:val="center"/>
          </w:tcPr>
          <w:p w14:paraId="57927C8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食品中总糖测定</w:t>
            </w:r>
          </w:p>
        </w:tc>
        <w:tc>
          <w:tcPr>
            <w:tcW w:w="763" w:type="dxa"/>
            <w:noWrap w:val="0"/>
            <w:vAlign w:val="center"/>
          </w:tcPr>
          <w:p w14:paraId="6E42F95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A7321E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41A6C75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FC5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62B5A2E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2425" w:type="dxa"/>
            <w:noWrap w:val="0"/>
            <w:vAlign w:val="center"/>
          </w:tcPr>
          <w:p w14:paraId="57AFB90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724C78F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7F052D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18BB5D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44CD76A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8F0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2BA6D0D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41</w:t>
            </w:r>
          </w:p>
        </w:tc>
        <w:tc>
          <w:tcPr>
            <w:tcW w:w="2425" w:type="dxa"/>
            <w:noWrap w:val="0"/>
            <w:vAlign w:val="center"/>
          </w:tcPr>
          <w:p w14:paraId="3B1E940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滴定装置</w:t>
            </w:r>
          </w:p>
        </w:tc>
        <w:tc>
          <w:tcPr>
            <w:tcW w:w="1000" w:type="dxa"/>
            <w:vMerge w:val="continue"/>
            <w:noWrap w:val="0"/>
            <w:vAlign w:val="center"/>
          </w:tcPr>
          <w:p w14:paraId="7E4D023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196586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0A54F57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799D66A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DB5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B87331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42</w:t>
            </w:r>
          </w:p>
        </w:tc>
        <w:tc>
          <w:tcPr>
            <w:tcW w:w="2425" w:type="dxa"/>
            <w:noWrap w:val="0"/>
            <w:vAlign w:val="center"/>
          </w:tcPr>
          <w:p w14:paraId="666196D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restart"/>
            <w:noWrap w:val="0"/>
            <w:vAlign w:val="center"/>
          </w:tcPr>
          <w:p w14:paraId="10930BA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食品中蛋白质含量测定</w:t>
            </w:r>
          </w:p>
        </w:tc>
        <w:tc>
          <w:tcPr>
            <w:tcW w:w="763" w:type="dxa"/>
            <w:noWrap w:val="0"/>
            <w:vAlign w:val="center"/>
          </w:tcPr>
          <w:p w14:paraId="6757A21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1356D72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1295775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48C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6C2DE96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43</w:t>
            </w:r>
          </w:p>
        </w:tc>
        <w:tc>
          <w:tcPr>
            <w:tcW w:w="2425" w:type="dxa"/>
            <w:noWrap w:val="0"/>
            <w:vAlign w:val="center"/>
          </w:tcPr>
          <w:p w14:paraId="0DC2DFA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滴定装置</w:t>
            </w:r>
          </w:p>
        </w:tc>
        <w:tc>
          <w:tcPr>
            <w:tcW w:w="1000" w:type="dxa"/>
            <w:vMerge w:val="continue"/>
            <w:noWrap w:val="0"/>
            <w:vAlign w:val="center"/>
          </w:tcPr>
          <w:p w14:paraId="206C409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7E6693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7DACDE3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6DD3B9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23F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756FA84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44</w:t>
            </w:r>
          </w:p>
        </w:tc>
        <w:tc>
          <w:tcPr>
            <w:tcW w:w="2425" w:type="dxa"/>
            <w:noWrap w:val="0"/>
            <w:vAlign w:val="center"/>
          </w:tcPr>
          <w:p w14:paraId="7885800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1A17374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5C3E50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4AEC832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2A6F542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B5C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1DFC7BC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45</w:t>
            </w:r>
          </w:p>
        </w:tc>
        <w:tc>
          <w:tcPr>
            <w:tcW w:w="2425" w:type="dxa"/>
            <w:noWrap w:val="0"/>
            <w:vAlign w:val="center"/>
          </w:tcPr>
          <w:p w14:paraId="25537F6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消解炉</w:t>
            </w:r>
          </w:p>
        </w:tc>
        <w:tc>
          <w:tcPr>
            <w:tcW w:w="1000" w:type="dxa"/>
            <w:vMerge w:val="continue"/>
            <w:noWrap w:val="0"/>
            <w:vAlign w:val="center"/>
          </w:tcPr>
          <w:p w14:paraId="521CA69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E1899D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365DE20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1F39E1F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989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10861C9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46</w:t>
            </w:r>
          </w:p>
        </w:tc>
        <w:tc>
          <w:tcPr>
            <w:tcW w:w="2425" w:type="dxa"/>
            <w:noWrap w:val="0"/>
            <w:vAlign w:val="center"/>
          </w:tcPr>
          <w:p w14:paraId="4F2EE97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凯氏定氮仪</w:t>
            </w:r>
          </w:p>
        </w:tc>
        <w:tc>
          <w:tcPr>
            <w:tcW w:w="1000" w:type="dxa"/>
            <w:vMerge w:val="continue"/>
            <w:noWrap w:val="0"/>
            <w:vAlign w:val="center"/>
          </w:tcPr>
          <w:p w14:paraId="3A8186A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5D94E7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18D8001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0804B22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787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70D8529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47</w:t>
            </w:r>
          </w:p>
        </w:tc>
        <w:tc>
          <w:tcPr>
            <w:tcW w:w="2425" w:type="dxa"/>
            <w:noWrap w:val="0"/>
            <w:vAlign w:val="center"/>
          </w:tcPr>
          <w:p w14:paraId="3305CAD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restart"/>
            <w:noWrap w:val="0"/>
            <w:vAlign w:val="center"/>
          </w:tcPr>
          <w:p w14:paraId="309C7A7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食品中食盐（氯化钠）含量的测定</w:t>
            </w:r>
          </w:p>
        </w:tc>
        <w:tc>
          <w:tcPr>
            <w:tcW w:w="763" w:type="dxa"/>
            <w:noWrap w:val="0"/>
            <w:vAlign w:val="center"/>
          </w:tcPr>
          <w:p w14:paraId="187CDBC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2D47BD7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26DD3C5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B89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E2F234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48</w:t>
            </w:r>
          </w:p>
        </w:tc>
        <w:tc>
          <w:tcPr>
            <w:tcW w:w="2425" w:type="dxa"/>
            <w:noWrap w:val="0"/>
            <w:vAlign w:val="center"/>
          </w:tcPr>
          <w:p w14:paraId="7E93E4D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5CB51E5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0DAB7D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2A7BDC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1537351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FF4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4FF121A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49</w:t>
            </w:r>
          </w:p>
        </w:tc>
        <w:tc>
          <w:tcPr>
            <w:tcW w:w="2425" w:type="dxa"/>
            <w:noWrap w:val="0"/>
            <w:vAlign w:val="center"/>
          </w:tcPr>
          <w:p w14:paraId="2ACD0C1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滴定装置</w:t>
            </w:r>
          </w:p>
        </w:tc>
        <w:tc>
          <w:tcPr>
            <w:tcW w:w="1000" w:type="dxa"/>
            <w:vMerge w:val="continue"/>
            <w:noWrap w:val="0"/>
            <w:vAlign w:val="center"/>
          </w:tcPr>
          <w:p w14:paraId="4D4EC32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F367BC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39595FB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98DC2F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B74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42CD79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50</w:t>
            </w:r>
          </w:p>
        </w:tc>
        <w:tc>
          <w:tcPr>
            <w:tcW w:w="2425" w:type="dxa"/>
            <w:noWrap w:val="0"/>
            <w:vAlign w:val="center"/>
          </w:tcPr>
          <w:p w14:paraId="30D9202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restart"/>
            <w:noWrap w:val="0"/>
            <w:vAlign w:val="center"/>
          </w:tcPr>
          <w:p w14:paraId="0E5CFAC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果蔬中维生素 C含量测定</w:t>
            </w:r>
          </w:p>
        </w:tc>
        <w:tc>
          <w:tcPr>
            <w:tcW w:w="763" w:type="dxa"/>
            <w:noWrap w:val="0"/>
            <w:vAlign w:val="center"/>
          </w:tcPr>
          <w:p w14:paraId="68CFD10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07199CA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744F333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789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7D54F8D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51</w:t>
            </w:r>
          </w:p>
        </w:tc>
        <w:tc>
          <w:tcPr>
            <w:tcW w:w="2425" w:type="dxa"/>
            <w:noWrap w:val="0"/>
            <w:vAlign w:val="center"/>
          </w:tcPr>
          <w:p w14:paraId="62714DA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粉碎机</w:t>
            </w:r>
          </w:p>
        </w:tc>
        <w:tc>
          <w:tcPr>
            <w:tcW w:w="1000" w:type="dxa"/>
            <w:vMerge w:val="continue"/>
            <w:noWrap w:val="0"/>
            <w:vAlign w:val="center"/>
          </w:tcPr>
          <w:p w14:paraId="18536F5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A31161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F501A1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7C5435B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041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12579EF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52</w:t>
            </w:r>
          </w:p>
        </w:tc>
        <w:tc>
          <w:tcPr>
            <w:tcW w:w="2425" w:type="dxa"/>
            <w:noWrap w:val="0"/>
            <w:vAlign w:val="center"/>
          </w:tcPr>
          <w:p w14:paraId="43ADF27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0465697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02B7C3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6F09917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004BD25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39C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0BDDFF5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53</w:t>
            </w:r>
          </w:p>
        </w:tc>
        <w:tc>
          <w:tcPr>
            <w:tcW w:w="2425" w:type="dxa"/>
            <w:noWrap w:val="0"/>
            <w:vAlign w:val="center"/>
          </w:tcPr>
          <w:p w14:paraId="07CD0DB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微量</w:t>
            </w:r>
            <w:r>
              <w:rPr>
                <w:rFonts w:hint="eastAsia" w:ascii="宋体" w:hAnsi="宋体" w:eastAsia="宋体" w:cs="宋体"/>
                <w:sz w:val="21"/>
                <w:szCs w:val="21"/>
                <w:vertAlign w:val="baseline"/>
              </w:rPr>
              <w:t>滴定装置</w:t>
            </w:r>
          </w:p>
        </w:tc>
        <w:tc>
          <w:tcPr>
            <w:tcW w:w="1000" w:type="dxa"/>
            <w:vMerge w:val="continue"/>
            <w:noWrap w:val="0"/>
            <w:vAlign w:val="center"/>
          </w:tcPr>
          <w:p w14:paraId="2634E36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71854D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3328BE7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10E8CAD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F71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039FD2E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54</w:t>
            </w:r>
          </w:p>
        </w:tc>
        <w:tc>
          <w:tcPr>
            <w:tcW w:w="2425" w:type="dxa"/>
            <w:noWrap w:val="0"/>
            <w:vAlign w:val="center"/>
          </w:tcPr>
          <w:p w14:paraId="6A5B595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restart"/>
            <w:noWrap w:val="0"/>
            <w:vAlign w:val="center"/>
          </w:tcPr>
          <w:p w14:paraId="22A8132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食品中的二氧化硫含量、亚硝酸盐含量的测定</w:t>
            </w:r>
          </w:p>
        </w:tc>
        <w:tc>
          <w:tcPr>
            <w:tcW w:w="763" w:type="dxa"/>
            <w:noWrap w:val="0"/>
            <w:vAlign w:val="center"/>
          </w:tcPr>
          <w:p w14:paraId="039103A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199B646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6978C0A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B8A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05AAAD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55</w:t>
            </w:r>
          </w:p>
        </w:tc>
        <w:tc>
          <w:tcPr>
            <w:tcW w:w="2425" w:type="dxa"/>
            <w:noWrap w:val="0"/>
            <w:vAlign w:val="center"/>
          </w:tcPr>
          <w:p w14:paraId="6299AD2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粉碎机</w:t>
            </w:r>
          </w:p>
        </w:tc>
        <w:tc>
          <w:tcPr>
            <w:tcW w:w="1000" w:type="dxa"/>
            <w:vMerge w:val="continue"/>
            <w:noWrap w:val="0"/>
            <w:vAlign w:val="center"/>
          </w:tcPr>
          <w:p w14:paraId="08600C8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CEF0E8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C61A09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518A3BD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EA2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6407BB8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56</w:t>
            </w:r>
          </w:p>
        </w:tc>
        <w:tc>
          <w:tcPr>
            <w:tcW w:w="2425" w:type="dxa"/>
            <w:noWrap w:val="0"/>
            <w:vAlign w:val="center"/>
          </w:tcPr>
          <w:p w14:paraId="3A8B583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5271907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A001E1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64EC32D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760ECBA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9DD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247298B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57</w:t>
            </w:r>
          </w:p>
        </w:tc>
        <w:tc>
          <w:tcPr>
            <w:tcW w:w="2425" w:type="dxa"/>
            <w:noWrap w:val="0"/>
            <w:vAlign w:val="center"/>
          </w:tcPr>
          <w:p w14:paraId="349ACB4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分光光度计</w:t>
            </w:r>
          </w:p>
        </w:tc>
        <w:tc>
          <w:tcPr>
            <w:tcW w:w="1000" w:type="dxa"/>
            <w:vMerge w:val="continue"/>
            <w:noWrap w:val="0"/>
            <w:vAlign w:val="center"/>
          </w:tcPr>
          <w:p w14:paraId="250C467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033898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72CF6EC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949" w:type="dxa"/>
            <w:vMerge w:val="continue"/>
            <w:noWrap w:val="0"/>
            <w:vAlign w:val="center"/>
          </w:tcPr>
          <w:p w14:paraId="7465DB7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6DC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EE035E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58</w:t>
            </w:r>
          </w:p>
        </w:tc>
        <w:tc>
          <w:tcPr>
            <w:tcW w:w="2425" w:type="dxa"/>
            <w:noWrap w:val="0"/>
            <w:vAlign w:val="center"/>
          </w:tcPr>
          <w:p w14:paraId="56B7528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消解炉</w:t>
            </w:r>
          </w:p>
        </w:tc>
        <w:tc>
          <w:tcPr>
            <w:tcW w:w="1000" w:type="dxa"/>
            <w:vMerge w:val="continue"/>
            <w:noWrap w:val="0"/>
            <w:vAlign w:val="center"/>
          </w:tcPr>
          <w:p w14:paraId="6F9050B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0C697E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4A30E8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3FBD363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EEF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2A12C1C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59</w:t>
            </w:r>
          </w:p>
        </w:tc>
        <w:tc>
          <w:tcPr>
            <w:tcW w:w="2425" w:type="dxa"/>
            <w:noWrap w:val="0"/>
            <w:vAlign w:val="center"/>
          </w:tcPr>
          <w:p w14:paraId="7441A77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原子荧光分光光度计</w:t>
            </w:r>
          </w:p>
        </w:tc>
        <w:tc>
          <w:tcPr>
            <w:tcW w:w="1000" w:type="dxa"/>
            <w:vMerge w:val="restart"/>
            <w:noWrap w:val="0"/>
            <w:vAlign w:val="center"/>
          </w:tcPr>
          <w:p w14:paraId="6B6A538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原子荧光分光光度计测定食品中的砷、汞含量</w:t>
            </w:r>
          </w:p>
        </w:tc>
        <w:tc>
          <w:tcPr>
            <w:tcW w:w="763" w:type="dxa"/>
            <w:noWrap w:val="0"/>
            <w:vAlign w:val="center"/>
          </w:tcPr>
          <w:p w14:paraId="7C06BC0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2B8C8EC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7BE88AF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4C2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6FEBEE6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w:t>
            </w:r>
          </w:p>
        </w:tc>
        <w:tc>
          <w:tcPr>
            <w:tcW w:w="2425" w:type="dxa"/>
            <w:noWrap w:val="0"/>
            <w:vAlign w:val="center"/>
          </w:tcPr>
          <w:p w14:paraId="323131A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continue"/>
            <w:noWrap w:val="0"/>
            <w:vAlign w:val="center"/>
          </w:tcPr>
          <w:p w14:paraId="53F5552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72B551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70AA980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793FA03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787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4FFAEC0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61</w:t>
            </w:r>
          </w:p>
        </w:tc>
        <w:tc>
          <w:tcPr>
            <w:tcW w:w="2425" w:type="dxa"/>
            <w:noWrap w:val="0"/>
            <w:vAlign w:val="center"/>
          </w:tcPr>
          <w:p w14:paraId="2A7FC85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2B6C916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E165AF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A2944A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2E7959A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33A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E0A9AF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62</w:t>
            </w:r>
          </w:p>
        </w:tc>
        <w:tc>
          <w:tcPr>
            <w:tcW w:w="2425" w:type="dxa"/>
            <w:noWrap w:val="0"/>
            <w:vAlign w:val="center"/>
          </w:tcPr>
          <w:p w14:paraId="3DDF368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消解炉</w:t>
            </w:r>
          </w:p>
        </w:tc>
        <w:tc>
          <w:tcPr>
            <w:tcW w:w="1000" w:type="dxa"/>
            <w:vMerge w:val="continue"/>
            <w:noWrap w:val="0"/>
            <w:vAlign w:val="center"/>
          </w:tcPr>
          <w:p w14:paraId="4A348A8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5BD718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6B2AD5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0F32ED2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35E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4DA67C0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63</w:t>
            </w:r>
          </w:p>
        </w:tc>
        <w:tc>
          <w:tcPr>
            <w:tcW w:w="2425" w:type="dxa"/>
            <w:noWrap w:val="0"/>
            <w:vAlign w:val="center"/>
          </w:tcPr>
          <w:p w14:paraId="66CCCF3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原子</w:t>
            </w:r>
            <w:r>
              <w:rPr>
                <w:rFonts w:hint="eastAsia" w:ascii="宋体" w:hAnsi="宋体" w:eastAsia="宋体" w:cs="宋体"/>
                <w:sz w:val="21"/>
                <w:szCs w:val="21"/>
                <w:vertAlign w:val="baseline"/>
                <w:lang w:val="en-US" w:eastAsia="zh-CN"/>
              </w:rPr>
              <w:t>吸收</w:t>
            </w:r>
            <w:r>
              <w:rPr>
                <w:rFonts w:hint="eastAsia" w:ascii="宋体" w:hAnsi="宋体" w:eastAsia="宋体" w:cs="宋体"/>
                <w:sz w:val="21"/>
                <w:szCs w:val="21"/>
                <w:vertAlign w:val="baseline"/>
              </w:rPr>
              <w:t>分光光度计</w:t>
            </w:r>
          </w:p>
        </w:tc>
        <w:tc>
          <w:tcPr>
            <w:tcW w:w="1000" w:type="dxa"/>
            <w:vMerge w:val="restart"/>
            <w:noWrap w:val="0"/>
            <w:vAlign w:val="center"/>
          </w:tcPr>
          <w:p w14:paraId="1A47E05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原子吸收分光光度法测定食品中的铅、铜含量</w:t>
            </w:r>
          </w:p>
        </w:tc>
        <w:tc>
          <w:tcPr>
            <w:tcW w:w="763" w:type="dxa"/>
            <w:noWrap w:val="0"/>
            <w:vAlign w:val="center"/>
          </w:tcPr>
          <w:p w14:paraId="7E65004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5A608D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restart"/>
            <w:noWrap w:val="0"/>
            <w:vAlign w:val="center"/>
          </w:tcPr>
          <w:p w14:paraId="148E284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《食品质量检验员》（四、五级）、《食品检验工》（中级）</w:t>
            </w:r>
          </w:p>
        </w:tc>
      </w:tr>
      <w:tr w14:paraId="3B9D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16A6AE2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64</w:t>
            </w:r>
          </w:p>
        </w:tc>
        <w:tc>
          <w:tcPr>
            <w:tcW w:w="2425" w:type="dxa"/>
            <w:noWrap w:val="0"/>
            <w:vAlign w:val="center"/>
          </w:tcPr>
          <w:p w14:paraId="0BDF35B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continue"/>
            <w:noWrap w:val="0"/>
            <w:vAlign w:val="center"/>
          </w:tcPr>
          <w:p w14:paraId="1E200D1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0BECC8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7BF0F8C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1F1303A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B79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26D43E5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65</w:t>
            </w:r>
          </w:p>
        </w:tc>
        <w:tc>
          <w:tcPr>
            <w:tcW w:w="2425" w:type="dxa"/>
            <w:noWrap w:val="0"/>
            <w:vAlign w:val="center"/>
          </w:tcPr>
          <w:p w14:paraId="515C12C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2065514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F99068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3130640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0C04D8A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4A0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0A6AFBD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66</w:t>
            </w:r>
          </w:p>
        </w:tc>
        <w:tc>
          <w:tcPr>
            <w:tcW w:w="2425" w:type="dxa"/>
            <w:noWrap w:val="0"/>
            <w:vAlign w:val="center"/>
          </w:tcPr>
          <w:p w14:paraId="13CC995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000" w:type="dxa"/>
            <w:vMerge w:val="restart"/>
            <w:noWrap w:val="0"/>
            <w:vAlign w:val="center"/>
          </w:tcPr>
          <w:p w14:paraId="12AB378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气相色谱法测定食品中农药残留量</w:t>
            </w:r>
          </w:p>
        </w:tc>
        <w:tc>
          <w:tcPr>
            <w:tcW w:w="763" w:type="dxa"/>
            <w:noWrap w:val="0"/>
            <w:vAlign w:val="center"/>
          </w:tcPr>
          <w:p w14:paraId="72324E0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433537E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7FB1CCB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557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626A65A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67</w:t>
            </w:r>
          </w:p>
        </w:tc>
        <w:tc>
          <w:tcPr>
            <w:tcW w:w="2425" w:type="dxa"/>
            <w:noWrap w:val="0"/>
            <w:vAlign w:val="center"/>
          </w:tcPr>
          <w:p w14:paraId="04DA0CA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电子分析天平</w:t>
            </w:r>
          </w:p>
        </w:tc>
        <w:tc>
          <w:tcPr>
            <w:tcW w:w="1000" w:type="dxa"/>
            <w:vMerge w:val="continue"/>
            <w:noWrap w:val="0"/>
            <w:vAlign w:val="center"/>
          </w:tcPr>
          <w:p w14:paraId="46F6FC8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21240E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332A85E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1949" w:type="dxa"/>
            <w:vMerge w:val="continue"/>
            <w:noWrap w:val="0"/>
            <w:vAlign w:val="center"/>
          </w:tcPr>
          <w:p w14:paraId="78324BC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22A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1B92999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68</w:t>
            </w:r>
          </w:p>
        </w:tc>
        <w:tc>
          <w:tcPr>
            <w:tcW w:w="2425" w:type="dxa"/>
            <w:noWrap w:val="0"/>
            <w:vAlign w:val="center"/>
          </w:tcPr>
          <w:p w14:paraId="3AE8105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气相色谱仪</w:t>
            </w:r>
          </w:p>
        </w:tc>
        <w:tc>
          <w:tcPr>
            <w:tcW w:w="1000" w:type="dxa"/>
            <w:vMerge w:val="continue"/>
            <w:noWrap w:val="0"/>
            <w:vAlign w:val="center"/>
          </w:tcPr>
          <w:p w14:paraId="469FAE4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6984A7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4C2A116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399DD41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5D7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52F662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69</w:t>
            </w:r>
          </w:p>
        </w:tc>
        <w:tc>
          <w:tcPr>
            <w:tcW w:w="2425" w:type="dxa"/>
            <w:noWrap w:val="0"/>
            <w:vAlign w:val="center"/>
          </w:tcPr>
          <w:p w14:paraId="1D00F3C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色谱工作站</w:t>
            </w:r>
          </w:p>
        </w:tc>
        <w:tc>
          <w:tcPr>
            <w:tcW w:w="1000" w:type="dxa"/>
            <w:vMerge w:val="continue"/>
            <w:noWrap w:val="0"/>
            <w:vAlign w:val="center"/>
          </w:tcPr>
          <w:p w14:paraId="10E38C5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93D5FA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731EC1C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48F78CE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E4B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19DF13A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70</w:t>
            </w:r>
          </w:p>
        </w:tc>
        <w:tc>
          <w:tcPr>
            <w:tcW w:w="2425" w:type="dxa"/>
            <w:noWrap w:val="0"/>
            <w:vAlign w:val="center"/>
          </w:tcPr>
          <w:p w14:paraId="3AD6482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毛细管柱</w:t>
            </w:r>
          </w:p>
        </w:tc>
        <w:tc>
          <w:tcPr>
            <w:tcW w:w="1000" w:type="dxa"/>
            <w:vMerge w:val="continue"/>
            <w:noWrap w:val="0"/>
            <w:vAlign w:val="center"/>
          </w:tcPr>
          <w:p w14:paraId="0DC8B96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41E9BD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21315E4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780A464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F99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4079F90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71</w:t>
            </w:r>
          </w:p>
        </w:tc>
        <w:tc>
          <w:tcPr>
            <w:tcW w:w="2425" w:type="dxa"/>
            <w:noWrap w:val="0"/>
            <w:vAlign w:val="center"/>
          </w:tcPr>
          <w:p w14:paraId="34D69AA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电子捕获检测器</w:t>
            </w:r>
          </w:p>
        </w:tc>
        <w:tc>
          <w:tcPr>
            <w:tcW w:w="1000" w:type="dxa"/>
            <w:vMerge w:val="continue"/>
            <w:noWrap w:val="0"/>
            <w:vAlign w:val="center"/>
          </w:tcPr>
          <w:p w14:paraId="0C31BEF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CA65F6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4084CA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693CB54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985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517706E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72</w:t>
            </w:r>
          </w:p>
        </w:tc>
        <w:tc>
          <w:tcPr>
            <w:tcW w:w="2425" w:type="dxa"/>
            <w:noWrap w:val="0"/>
            <w:vAlign w:val="center"/>
          </w:tcPr>
          <w:p w14:paraId="369B332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高效液相色谱仪</w:t>
            </w:r>
          </w:p>
        </w:tc>
        <w:tc>
          <w:tcPr>
            <w:tcW w:w="1000" w:type="dxa"/>
            <w:vMerge w:val="continue"/>
            <w:noWrap w:val="0"/>
            <w:vAlign w:val="center"/>
          </w:tcPr>
          <w:p w14:paraId="7D400FF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6DE9A7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CBE13F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1FDC14E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031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3A9E1E9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73</w:t>
            </w:r>
          </w:p>
        </w:tc>
        <w:tc>
          <w:tcPr>
            <w:tcW w:w="2425" w:type="dxa"/>
            <w:noWrap w:val="0"/>
            <w:vAlign w:val="center"/>
          </w:tcPr>
          <w:p w14:paraId="4C0C157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色谱工作站</w:t>
            </w:r>
          </w:p>
        </w:tc>
        <w:tc>
          <w:tcPr>
            <w:tcW w:w="1000" w:type="dxa"/>
            <w:vMerge w:val="continue"/>
            <w:noWrap w:val="0"/>
            <w:vAlign w:val="center"/>
          </w:tcPr>
          <w:p w14:paraId="47A3ED8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CD7A05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3921D3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4A973E1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038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noWrap w:val="0"/>
            <w:vAlign w:val="center"/>
          </w:tcPr>
          <w:p w14:paraId="2DCB764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74</w:t>
            </w:r>
          </w:p>
        </w:tc>
        <w:tc>
          <w:tcPr>
            <w:tcW w:w="2425" w:type="dxa"/>
            <w:noWrap w:val="0"/>
            <w:vAlign w:val="center"/>
          </w:tcPr>
          <w:p w14:paraId="59C2BB9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全自动逆渗透纯水机</w:t>
            </w:r>
          </w:p>
        </w:tc>
        <w:tc>
          <w:tcPr>
            <w:tcW w:w="1000" w:type="dxa"/>
            <w:vMerge w:val="continue"/>
            <w:noWrap w:val="0"/>
            <w:vAlign w:val="center"/>
          </w:tcPr>
          <w:p w14:paraId="447983F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7022F2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2FAC1D5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1E381A4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bl>
    <w:p w14:paraId="608CC061">
      <w:pPr>
        <w:keepNext w:val="0"/>
        <w:keepLines w:val="0"/>
        <w:pageBreakBefore w:val="0"/>
        <w:widowControl w:val="0"/>
        <w:numPr>
          <w:ilvl w:val="0"/>
          <w:numId w:val="0"/>
        </w:numPr>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val="0"/>
          <w:bCs w:val="0"/>
          <w:i w:val="0"/>
          <w:color w:val="000000"/>
          <w:spacing w:val="-2"/>
          <w:w w:val="99"/>
          <w:kern w:val="0"/>
          <w:position w:val="0"/>
          <w:sz w:val="24"/>
          <w:szCs w:val="24"/>
          <w:lang w:val="en-US" w:eastAsia="zh-CN"/>
        </w:rPr>
      </w:pPr>
    </w:p>
    <w:p w14:paraId="2C9D62A7">
      <w:pPr>
        <w:keepNext w:val="0"/>
        <w:keepLines w:val="0"/>
        <w:pageBreakBefore w:val="0"/>
        <w:widowControl w:val="0"/>
        <w:numPr>
          <w:ilvl w:val="0"/>
          <w:numId w:val="0"/>
        </w:numPr>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val="0"/>
          <w:bCs w:val="0"/>
          <w:i w:val="0"/>
          <w:color w:val="000000"/>
          <w:spacing w:val="-2"/>
          <w:w w:val="99"/>
          <w:kern w:val="0"/>
          <w:position w:val="0"/>
          <w:sz w:val="24"/>
          <w:szCs w:val="24"/>
          <w:lang w:val="en-US" w:eastAsia="zh-CN"/>
        </w:rPr>
      </w:pPr>
      <w:r>
        <w:rPr>
          <w:rFonts w:hint="eastAsia" w:ascii="宋体" w:hAnsi="宋体" w:eastAsia="宋体" w:cs="宋体"/>
          <w:b w:val="0"/>
          <w:bCs w:val="0"/>
          <w:i w:val="0"/>
          <w:color w:val="000000"/>
          <w:spacing w:val="-2"/>
          <w:w w:val="99"/>
          <w:kern w:val="0"/>
          <w:position w:val="0"/>
          <w:sz w:val="24"/>
          <w:szCs w:val="24"/>
          <w:lang w:val="en-US" w:eastAsia="zh-CN"/>
        </w:rPr>
        <w:t>微生物检验检测实训室</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175"/>
        <w:gridCol w:w="1250"/>
        <w:gridCol w:w="763"/>
        <w:gridCol w:w="1200"/>
        <w:gridCol w:w="1949"/>
      </w:tblGrid>
      <w:tr w14:paraId="4B3C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D7D7D7"/>
            <w:noWrap w:val="0"/>
            <w:vAlign w:val="center"/>
          </w:tcPr>
          <w:p w14:paraId="356427C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2175" w:type="dxa"/>
            <w:shd w:val="clear" w:color="auto" w:fill="D7D7D7"/>
            <w:noWrap w:val="0"/>
            <w:vAlign w:val="center"/>
          </w:tcPr>
          <w:p w14:paraId="7751C38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设备名称</w:t>
            </w:r>
          </w:p>
        </w:tc>
        <w:tc>
          <w:tcPr>
            <w:tcW w:w="1250" w:type="dxa"/>
            <w:shd w:val="clear" w:color="auto" w:fill="D7D7D7"/>
            <w:noWrap w:val="0"/>
            <w:vAlign w:val="center"/>
          </w:tcPr>
          <w:p w14:paraId="75E519C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用途</w:t>
            </w:r>
          </w:p>
        </w:tc>
        <w:tc>
          <w:tcPr>
            <w:tcW w:w="763" w:type="dxa"/>
            <w:shd w:val="clear" w:color="auto" w:fill="D7D7D7"/>
            <w:noWrap w:val="0"/>
            <w:vAlign w:val="center"/>
          </w:tcPr>
          <w:p w14:paraId="4773799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c>
          <w:tcPr>
            <w:tcW w:w="1200" w:type="dxa"/>
            <w:shd w:val="clear" w:color="auto" w:fill="D7D7D7"/>
            <w:noWrap w:val="0"/>
            <w:vAlign w:val="center"/>
          </w:tcPr>
          <w:p w14:paraId="7F11386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基本配置</w:t>
            </w:r>
          </w:p>
        </w:tc>
        <w:tc>
          <w:tcPr>
            <w:tcW w:w="1949" w:type="dxa"/>
            <w:shd w:val="clear" w:color="auto" w:fill="D7D7D7"/>
            <w:noWrap w:val="0"/>
            <w:vAlign w:val="center"/>
          </w:tcPr>
          <w:p w14:paraId="4621F42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适用范围</w:t>
            </w:r>
          </w:p>
        </w:tc>
      </w:tr>
      <w:tr w14:paraId="2946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7BEF9C4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175" w:type="dxa"/>
            <w:noWrap w:val="0"/>
            <w:vAlign w:val="center"/>
          </w:tcPr>
          <w:p w14:paraId="76B1E45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玻璃器皿</w:t>
            </w:r>
          </w:p>
        </w:tc>
        <w:tc>
          <w:tcPr>
            <w:tcW w:w="1250" w:type="dxa"/>
            <w:vMerge w:val="restart"/>
            <w:noWrap w:val="0"/>
            <w:vAlign w:val="center"/>
          </w:tcPr>
          <w:p w14:paraId="16A27E9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无菌取样技术和检样制备方法</w:t>
            </w:r>
          </w:p>
        </w:tc>
        <w:tc>
          <w:tcPr>
            <w:tcW w:w="763" w:type="dxa"/>
            <w:noWrap w:val="0"/>
            <w:vAlign w:val="center"/>
          </w:tcPr>
          <w:p w14:paraId="4270F3B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3F00C79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restart"/>
            <w:noWrap w:val="0"/>
            <w:vAlign w:val="center"/>
          </w:tcPr>
          <w:p w14:paraId="62127EC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《食品质量检验员》（四、五级）、《食品检验工》（中级）</w:t>
            </w:r>
          </w:p>
        </w:tc>
      </w:tr>
      <w:tr w14:paraId="4DD9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F66013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175" w:type="dxa"/>
            <w:noWrap w:val="0"/>
            <w:vAlign w:val="center"/>
          </w:tcPr>
          <w:p w14:paraId="2DD2D2D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环境消毒设备</w:t>
            </w:r>
          </w:p>
        </w:tc>
        <w:tc>
          <w:tcPr>
            <w:tcW w:w="1250" w:type="dxa"/>
            <w:vMerge w:val="continue"/>
            <w:noWrap w:val="0"/>
            <w:vAlign w:val="center"/>
          </w:tcPr>
          <w:p w14:paraId="7BFB41A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CE73D2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09988BE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2640FB0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933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0" w:type="dxa"/>
            <w:noWrap w:val="0"/>
            <w:vAlign w:val="center"/>
          </w:tcPr>
          <w:p w14:paraId="351DC33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175" w:type="dxa"/>
            <w:noWrap w:val="0"/>
            <w:vAlign w:val="center"/>
          </w:tcPr>
          <w:p w14:paraId="2EF684F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干燥箱</w:t>
            </w:r>
          </w:p>
        </w:tc>
        <w:tc>
          <w:tcPr>
            <w:tcW w:w="1250" w:type="dxa"/>
            <w:vMerge w:val="continue"/>
            <w:noWrap w:val="0"/>
            <w:vAlign w:val="center"/>
          </w:tcPr>
          <w:p w14:paraId="3BE8380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8358DB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200" w:type="dxa"/>
            <w:noWrap w:val="0"/>
            <w:vAlign w:val="center"/>
          </w:tcPr>
          <w:p w14:paraId="65E7AFC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542D7E0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1AA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7C71B9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2175" w:type="dxa"/>
            <w:noWrap w:val="0"/>
            <w:vAlign w:val="center"/>
          </w:tcPr>
          <w:p w14:paraId="3B41451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不锈钢灭菌器</w:t>
            </w:r>
          </w:p>
        </w:tc>
        <w:tc>
          <w:tcPr>
            <w:tcW w:w="1250" w:type="dxa"/>
            <w:vMerge w:val="continue"/>
            <w:noWrap w:val="0"/>
            <w:vAlign w:val="center"/>
          </w:tcPr>
          <w:p w14:paraId="4C8DE05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142336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200" w:type="dxa"/>
            <w:noWrap w:val="0"/>
            <w:vAlign w:val="center"/>
          </w:tcPr>
          <w:p w14:paraId="260EDD7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2BED758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FD0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49A9BB3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2175" w:type="dxa"/>
            <w:noWrap w:val="0"/>
            <w:vAlign w:val="center"/>
          </w:tcPr>
          <w:p w14:paraId="4936206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玻璃器皿</w:t>
            </w:r>
          </w:p>
        </w:tc>
        <w:tc>
          <w:tcPr>
            <w:tcW w:w="1250" w:type="dxa"/>
            <w:vMerge w:val="restart"/>
            <w:noWrap w:val="0"/>
            <w:vAlign w:val="center"/>
          </w:tcPr>
          <w:p w14:paraId="4B966F7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微生物接</w:t>
            </w:r>
          </w:p>
          <w:p w14:paraId="356101E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种、分离纯化和培养技术</w:t>
            </w:r>
          </w:p>
        </w:tc>
        <w:tc>
          <w:tcPr>
            <w:tcW w:w="763" w:type="dxa"/>
            <w:noWrap w:val="0"/>
            <w:vAlign w:val="center"/>
          </w:tcPr>
          <w:p w14:paraId="2EE0CDE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1384BDF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602B3EC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both"/>
              <w:textAlignment w:val="baseline"/>
              <w:rPr>
                <w:rFonts w:hint="eastAsia" w:ascii="宋体" w:hAnsi="宋体" w:eastAsia="宋体" w:cs="宋体"/>
                <w:sz w:val="21"/>
                <w:szCs w:val="21"/>
                <w:vertAlign w:val="baseline"/>
              </w:rPr>
            </w:pPr>
          </w:p>
        </w:tc>
      </w:tr>
      <w:tr w14:paraId="4C6C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7F72A50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2175" w:type="dxa"/>
            <w:noWrap w:val="0"/>
            <w:vAlign w:val="center"/>
          </w:tcPr>
          <w:p w14:paraId="3A562FA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培养箱</w:t>
            </w:r>
          </w:p>
        </w:tc>
        <w:tc>
          <w:tcPr>
            <w:tcW w:w="1250" w:type="dxa"/>
            <w:vMerge w:val="continue"/>
            <w:noWrap w:val="0"/>
            <w:vAlign w:val="center"/>
          </w:tcPr>
          <w:p w14:paraId="57C36FF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99F70F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2CABB9E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30E15BB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760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0" w:type="dxa"/>
            <w:noWrap w:val="0"/>
            <w:vAlign w:val="center"/>
          </w:tcPr>
          <w:p w14:paraId="082D723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2175" w:type="dxa"/>
            <w:noWrap w:val="0"/>
            <w:vAlign w:val="center"/>
          </w:tcPr>
          <w:p w14:paraId="3B32C4F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环境消毒设备</w:t>
            </w:r>
          </w:p>
        </w:tc>
        <w:tc>
          <w:tcPr>
            <w:tcW w:w="1250" w:type="dxa"/>
            <w:vMerge w:val="continue"/>
            <w:noWrap w:val="0"/>
            <w:vAlign w:val="center"/>
          </w:tcPr>
          <w:p w14:paraId="19E3180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DDFFF0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50E05F2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1B75932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D99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541418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2175" w:type="dxa"/>
            <w:noWrap w:val="0"/>
            <w:vAlign w:val="center"/>
          </w:tcPr>
          <w:p w14:paraId="3550E2A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干燥箱</w:t>
            </w:r>
          </w:p>
        </w:tc>
        <w:tc>
          <w:tcPr>
            <w:tcW w:w="1250" w:type="dxa"/>
            <w:vMerge w:val="continue"/>
            <w:noWrap w:val="0"/>
            <w:vAlign w:val="center"/>
          </w:tcPr>
          <w:p w14:paraId="029F029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50B5A5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200" w:type="dxa"/>
            <w:noWrap w:val="0"/>
            <w:vAlign w:val="center"/>
          </w:tcPr>
          <w:p w14:paraId="4D60584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6EA2AFB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9AF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D35501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2175" w:type="dxa"/>
            <w:noWrap w:val="0"/>
            <w:vAlign w:val="center"/>
          </w:tcPr>
          <w:p w14:paraId="21DCA94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不锈钢灭菌器</w:t>
            </w:r>
          </w:p>
        </w:tc>
        <w:tc>
          <w:tcPr>
            <w:tcW w:w="1250" w:type="dxa"/>
            <w:vMerge w:val="continue"/>
            <w:noWrap w:val="0"/>
            <w:vAlign w:val="center"/>
          </w:tcPr>
          <w:p w14:paraId="25D98BA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98600C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200" w:type="dxa"/>
            <w:noWrap w:val="0"/>
            <w:vAlign w:val="center"/>
          </w:tcPr>
          <w:p w14:paraId="0397531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5B5F3F6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656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A3F887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2175" w:type="dxa"/>
            <w:noWrap w:val="0"/>
            <w:vAlign w:val="center"/>
          </w:tcPr>
          <w:p w14:paraId="78EF2B6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水浴床</w:t>
            </w:r>
          </w:p>
        </w:tc>
        <w:tc>
          <w:tcPr>
            <w:tcW w:w="1250" w:type="dxa"/>
            <w:vMerge w:val="continue"/>
            <w:noWrap w:val="0"/>
            <w:vAlign w:val="center"/>
          </w:tcPr>
          <w:p w14:paraId="5867EB8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D36467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台</w:t>
            </w:r>
          </w:p>
        </w:tc>
        <w:tc>
          <w:tcPr>
            <w:tcW w:w="1200" w:type="dxa"/>
            <w:noWrap w:val="0"/>
            <w:vAlign w:val="center"/>
          </w:tcPr>
          <w:p w14:paraId="05DD463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49" w:type="dxa"/>
            <w:vMerge w:val="continue"/>
            <w:noWrap w:val="0"/>
            <w:vAlign w:val="center"/>
          </w:tcPr>
          <w:p w14:paraId="0ECC148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81B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760E3C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2175" w:type="dxa"/>
            <w:noWrap w:val="0"/>
            <w:vAlign w:val="center"/>
          </w:tcPr>
          <w:p w14:paraId="22E4EC7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摇床</w:t>
            </w:r>
          </w:p>
        </w:tc>
        <w:tc>
          <w:tcPr>
            <w:tcW w:w="1250" w:type="dxa"/>
            <w:vMerge w:val="continue"/>
            <w:noWrap w:val="0"/>
            <w:vAlign w:val="center"/>
          </w:tcPr>
          <w:p w14:paraId="58984CE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6DEB69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1200" w:type="dxa"/>
            <w:noWrap w:val="0"/>
            <w:vAlign w:val="center"/>
          </w:tcPr>
          <w:p w14:paraId="3C7CA0E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7C37DC7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729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F91263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2175" w:type="dxa"/>
            <w:noWrap w:val="0"/>
            <w:vAlign w:val="center"/>
          </w:tcPr>
          <w:p w14:paraId="7B6807D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显微镜</w:t>
            </w:r>
          </w:p>
        </w:tc>
        <w:tc>
          <w:tcPr>
            <w:tcW w:w="1250" w:type="dxa"/>
            <w:vMerge w:val="restart"/>
            <w:noWrap w:val="0"/>
            <w:vAlign w:val="center"/>
          </w:tcPr>
          <w:p w14:paraId="7D8A48A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普通光学显微镜的使用</w:t>
            </w:r>
          </w:p>
        </w:tc>
        <w:tc>
          <w:tcPr>
            <w:tcW w:w="763" w:type="dxa"/>
            <w:noWrap w:val="0"/>
            <w:vAlign w:val="center"/>
          </w:tcPr>
          <w:p w14:paraId="262B769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345B9C1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restart"/>
            <w:noWrap w:val="0"/>
            <w:vAlign w:val="center"/>
          </w:tcPr>
          <w:p w14:paraId="5BF2E20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《食品质量检验员》（四、五级）、《食品检验工》（中级）</w:t>
            </w:r>
          </w:p>
        </w:tc>
      </w:tr>
      <w:tr w14:paraId="6237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50" w:type="dxa"/>
            <w:noWrap w:val="0"/>
            <w:vAlign w:val="center"/>
          </w:tcPr>
          <w:p w14:paraId="016841E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p>
        </w:tc>
        <w:tc>
          <w:tcPr>
            <w:tcW w:w="2175" w:type="dxa"/>
            <w:noWrap w:val="0"/>
            <w:vAlign w:val="center"/>
          </w:tcPr>
          <w:p w14:paraId="707B65C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示教</w:t>
            </w:r>
            <w:r>
              <w:rPr>
                <w:rFonts w:hint="eastAsia" w:ascii="宋体" w:hAnsi="宋体" w:eastAsia="宋体" w:cs="宋体"/>
                <w:sz w:val="21"/>
                <w:szCs w:val="21"/>
                <w:vertAlign w:val="baseline"/>
              </w:rPr>
              <w:t>显微镜</w:t>
            </w:r>
          </w:p>
        </w:tc>
        <w:tc>
          <w:tcPr>
            <w:tcW w:w="1250" w:type="dxa"/>
            <w:vMerge w:val="continue"/>
            <w:noWrap w:val="0"/>
            <w:vAlign w:val="center"/>
          </w:tcPr>
          <w:p w14:paraId="13FD41E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414D6B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2ECE6B9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2322C3C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55F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50" w:type="dxa"/>
            <w:noWrap w:val="0"/>
            <w:vAlign w:val="center"/>
          </w:tcPr>
          <w:p w14:paraId="56C70FC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p>
        </w:tc>
        <w:tc>
          <w:tcPr>
            <w:tcW w:w="2175" w:type="dxa"/>
            <w:noWrap w:val="0"/>
            <w:vAlign w:val="center"/>
          </w:tcPr>
          <w:p w14:paraId="21F647C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检测操作台</w:t>
            </w:r>
          </w:p>
        </w:tc>
        <w:tc>
          <w:tcPr>
            <w:tcW w:w="1250" w:type="dxa"/>
            <w:vMerge w:val="continue"/>
            <w:noWrap w:val="0"/>
            <w:vAlign w:val="center"/>
          </w:tcPr>
          <w:p w14:paraId="59E1007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AB5000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37B1640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733DC5A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EEF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49CB71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w:t>
            </w:r>
          </w:p>
        </w:tc>
        <w:tc>
          <w:tcPr>
            <w:tcW w:w="2175" w:type="dxa"/>
            <w:noWrap w:val="0"/>
            <w:vAlign w:val="center"/>
          </w:tcPr>
          <w:p w14:paraId="6D80A6E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显微镜</w:t>
            </w:r>
          </w:p>
        </w:tc>
        <w:tc>
          <w:tcPr>
            <w:tcW w:w="1250" w:type="dxa"/>
            <w:vMerge w:val="restart"/>
            <w:noWrap w:val="0"/>
            <w:vAlign w:val="center"/>
          </w:tcPr>
          <w:p w14:paraId="3EE2B38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染色鉴别方法</w:t>
            </w:r>
          </w:p>
        </w:tc>
        <w:tc>
          <w:tcPr>
            <w:tcW w:w="763" w:type="dxa"/>
            <w:noWrap w:val="0"/>
            <w:vAlign w:val="center"/>
          </w:tcPr>
          <w:p w14:paraId="6873B2C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609F8F9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6A8DB93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EF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595111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w:t>
            </w:r>
          </w:p>
        </w:tc>
        <w:tc>
          <w:tcPr>
            <w:tcW w:w="2175" w:type="dxa"/>
            <w:noWrap w:val="0"/>
            <w:vAlign w:val="center"/>
          </w:tcPr>
          <w:p w14:paraId="45DDA4A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示教</w:t>
            </w:r>
            <w:r>
              <w:rPr>
                <w:rFonts w:hint="eastAsia" w:ascii="宋体" w:hAnsi="宋体" w:eastAsia="宋体" w:cs="宋体"/>
                <w:sz w:val="21"/>
                <w:szCs w:val="21"/>
                <w:vertAlign w:val="baseline"/>
              </w:rPr>
              <w:t>显微镜</w:t>
            </w:r>
          </w:p>
        </w:tc>
        <w:tc>
          <w:tcPr>
            <w:tcW w:w="1250" w:type="dxa"/>
            <w:vMerge w:val="continue"/>
            <w:noWrap w:val="0"/>
            <w:vAlign w:val="center"/>
          </w:tcPr>
          <w:p w14:paraId="6EA1CCB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691969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4993CE3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63E219F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32E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50" w:type="dxa"/>
            <w:noWrap w:val="0"/>
            <w:vAlign w:val="center"/>
          </w:tcPr>
          <w:p w14:paraId="3D3D968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17</w:t>
            </w:r>
          </w:p>
        </w:tc>
        <w:tc>
          <w:tcPr>
            <w:tcW w:w="2175" w:type="dxa"/>
            <w:noWrap w:val="0"/>
            <w:vAlign w:val="center"/>
          </w:tcPr>
          <w:p w14:paraId="6C1B8D5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检测操作台</w:t>
            </w:r>
          </w:p>
        </w:tc>
        <w:tc>
          <w:tcPr>
            <w:tcW w:w="1250" w:type="dxa"/>
            <w:vMerge w:val="continue"/>
            <w:noWrap w:val="0"/>
            <w:vAlign w:val="center"/>
          </w:tcPr>
          <w:p w14:paraId="1521655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02F9F6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0272374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1D90226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1BD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184C21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w:t>
            </w:r>
          </w:p>
        </w:tc>
        <w:tc>
          <w:tcPr>
            <w:tcW w:w="2175" w:type="dxa"/>
            <w:noWrap w:val="0"/>
            <w:vAlign w:val="center"/>
          </w:tcPr>
          <w:p w14:paraId="6EBA198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环境消毒设备</w:t>
            </w:r>
          </w:p>
        </w:tc>
        <w:tc>
          <w:tcPr>
            <w:tcW w:w="1250" w:type="dxa"/>
            <w:vMerge w:val="continue"/>
            <w:noWrap w:val="0"/>
            <w:vAlign w:val="center"/>
          </w:tcPr>
          <w:p w14:paraId="414F732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B085A3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712F5FA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26D32AA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74F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AE50BD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19</w:t>
            </w:r>
          </w:p>
        </w:tc>
        <w:tc>
          <w:tcPr>
            <w:tcW w:w="2175" w:type="dxa"/>
            <w:noWrap w:val="0"/>
            <w:vAlign w:val="center"/>
          </w:tcPr>
          <w:p w14:paraId="066B309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干燥箱</w:t>
            </w:r>
          </w:p>
        </w:tc>
        <w:tc>
          <w:tcPr>
            <w:tcW w:w="1250" w:type="dxa"/>
            <w:vMerge w:val="continue"/>
            <w:noWrap w:val="0"/>
            <w:vAlign w:val="center"/>
          </w:tcPr>
          <w:p w14:paraId="0459305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CA1140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C532FA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363F2E5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877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50" w:type="dxa"/>
            <w:noWrap w:val="0"/>
            <w:vAlign w:val="center"/>
          </w:tcPr>
          <w:p w14:paraId="1175CEE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2175" w:type="dxa"/>
            <w:noWrap w:val="0"/>
            <w:vAlign w:val="center"/>
          </w:tcPr>
          <w:p w14:paraId="7C1F451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显微镜</w:t>
            </w:r>
          </w:p>
        </w:tc>
        <w:tc>
          <w:tcPr>
            <w:tcW w:w="1250" w:type="dxa"/>
            <w:vMerge w:val="restart"/>
            <w:noWrap w:val="0"/>
            <w:vAlign w:val="center"/>
          </w:tcPr>
          <w:p w14:paraId="12ADECD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食品中细菌菌落总数与大肠菌群的测定方法</w:t>
            </w:r>
          </w:p>
        </w:tc>
        <w:tc>
          <w:tcPr>
            <w:tcW w:w="763" w:type="dxa"/>
            <w:noWrap w:val="0"/>
            <w:vAlign w:val="center"/>
          </w:tcPr>
          <w:p w14:paraId="48818D7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A02E16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23E42E8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F49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50" w:type="dxa"/>
            <w:noWrap w:val="0"/>
            <w:vAlign w:val="center"/>
          </w:tcPr>
          <w:p w14:paraId="58845AC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21</w:t>
            </w:r>
          </w:p>
        </w:tc>
        <w:tc>
          <w:tcPr>
            <w:tcW w:w="2175" w:type="dxa"/>
            <w:noWrap w:val="0"/>
            <w:vAlign w:val="center"/>
          </w:tcPr>
          <w:p w14:paraId="47EAAC7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百级无菌室</w:t>
            </w:r>
          </w:p>
        </w:tc>
        <w:tc>
          <w:tcPr>
            <w:tcW w:w="1250" w:type="dxa"/>
            <w:vMerge w:val="continue"/>
            <w:noWrap w:val="0"/>
            <w:vAlign w:val="center"/>
          </w:tcPr>
          <w:p w14:paraId="623270F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EA23CD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7066A35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1D901C9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423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7E663D5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w:t>
            </w:r>
          </w:p>
        </w:tc>
        <w:tc>
          <w:tcPr>
            <w:tcW w:w="2175" w:type="dxa"/>
            <w:noWrap w:val="0"/>
            <w:vAlign w:val="center"/>
          </w:tcPr>
          <w:p w14:paraId="2B9AAEA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PH分析仪</w:t>
            </w:r>
          </w:p>
        </w:tc>
        <w:tc>
          <w:tcPr>
            <w:tcW w:w="1250" w:type="dxa"/>
            <w:vMerge w:val="continue"/>
            <w:noWrap w:val="0"/>
            <w:vAlign w:val="center"/>
          </w:tcPr>
          <w:p w14:paraId="3713EBA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8A9DC1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607E91A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949" w:type="dxa"/>
            <w:vMerge w:val="continue"/>
            <w:noWrap w:val="0"/>
            <w:vAlign w:val="center"/>
          </w:tcPr>
          <w:p w14:paraId="7DB30F4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A36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53E5CD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23</w:t>
            </w:r>
          </w:p>
        </w:tc>
        <w:tc>
          <w:tcPr>
            <w:tcW w:w="2175" w:type="dxa"/>
            <w:noWrap w:val="0"/>
            <w:vAlign w:val="center"/>
          </w:tcPr>
          <w:p w14:paraId="3EEC9C2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水浴炉</w:t>
            </w:r>
          </w:p>
        </w:tc>
        <w:tc>
          <w:tcPr>
            <w:tcW w:w="1250" w:type="dxa"/>
            <w:vMerge w:val="continue"/>
            <w:noWrap w:val="0"/>
            <w:vAlign w:val="center"/>
          </w:tcPr>
          <w:p w14:paraId="016C756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FC6DED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C47C57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49" w:type="dxa"/>
            <w:vMerge w:val="continue"/>
            <w:noWrap w:val="0"/>
            <w:vAlign w:val="center"/>
          </w:tcPr>
          <w:p w14:paraId="1923123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520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1DFAD2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24</w:t>
            </w:r>
          </w:p>
        </w:tc>
        <w:tc>
          <w:tcPr>
            <w:tcW w:w="2175" w:type="dxa"/>
            <w:noWrap w:val="0"/>
            <w:vAlign w:val="center"/>
          </w:tcPr>
          <w:p w14:paraId="0215FFB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示教</w:t>
            </w:r>
            <w:r>
              <w:rPr>
                <w:rFonts w:hint="eastAsia" w:ascii="宋体" w:hAnsi="宋体" w:eastAsia="宋体" w:cs="宋体"/>
                <w:sz w:val="21"/>
                <w:szCs w:val="21"/>
                <w:vertAlign w:val="baseline"/>
              </w:rPr>
              <w:t>显微镜</w:t>
            </w:r>
          </w:p>
        </w:tc>
        <w:tc>
          <w:tcPr>
            <w:tcW w:w="1250" w:type="dxa"/>
            <w:vMerge w:val="continue"/>
            <w:noWrap w:val="0"/>
            <w:vAlign w:val="center"/>
          </w:tcPr>
          <w:p w14:paraId="4528A1F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225743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35D896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7551A75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802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7815DCB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w:t>
            </w:r>
          </w:p>
        </w:tc>
        <w:tc>
          <w:tcPr>
            <w:tcW w:w="2175" w:type="dxa"/>
            <w:noWrap w:val="0"/>
            <w:vAlign w:val="center"/>
          </w:tcPr>
          <w:p w14:paraId="2B6ED3E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检测操作台</w:t>
            </w:r>
          </w:p>
        </w:tc>
        <w:tc>
          <w:tcPr>
            <w:tcW w:w="1250" w:type="dxa"/>
            <w:vMerge w:val="continue"/>
            <w:noWrap w:val="0"/>
            <w:vAlign w:val="center"/>
          </w:tcPr>
          <w:p w14:paraId="1305022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C17CE2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2262FB9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0DB7B5F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066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335CD2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26</w:t>
            </w:r>
          </w:p>
        </w:tc>
        <w:tc>
          <w:tcPr>
            <w:tcW w:w="2175" w:type="dxa"/>
            <w:noWrap w:val="0"/>
            <w:vAlign w:val="center"/>
          </w:tcPr>
          <w:p w14:paraId="65C0F9C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环境消毒设备</w:t>
            </w:r>
          </w:p>
        </w:tc>
        <w:tc>
          <w:tcPr>
            <w:tcW w:w="1250" w:type="dxa"/>
            <w:vMerge w:val="continue"/>
            <w:noWrap w:val="0"/>
            <w:vAlign w:val="center"/>
          </w:tcPr>
          <w:p w14:paraId="598BC1D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936327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1B7CD45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7C28A80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EF2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422459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27</w:t>
            </w:r>
          </w:p>
        </w:tc>
        <w:tc>
          <w:tcPr>
            <w:tcW w:w="2175" w:type="dxa"/>
            <w:noWrap w:val="0"/>
            <w:vAlign w:val="center"/>
          </w:tcPr>
          <w:p w14:paraId="15D093A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干燥箱</w:t>
            </w:r>
          </w:p>
        </w:tc>
        <w:tc>
          <w:tcPr>
            <w:tcW w:w="1250" w:type="dxa"/>
            <w:vMerge w:val="continue"/>
            <w:noWrap w:val="0"/>
            <w:vAlign w:val="center"/>
          </w:tcPr>
          <w:p w14:paraId="2893121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E436FA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33C433C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2DD72BE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6C7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BA7E0A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28</w:t>
            </w:r>
          </w:p>
        </w:tc>
        <w:tc>
          <w:tcPr>
            <w:tcW w:w="2175" w:type="dxa"/>
            <w:noWrap w:val="0"/>
            <w:vAlign w:val="center"/>
          </w:tcPr>
          <w:p w14:paraId="4EE64B5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玻璃器皿</w:t>
            </w:r>
          </w:p>
        </w:tc>
        <w:tc>
          <w:tcPr>
            <w:tcW w:w="1250" w:type="dxa"/>
            <w:vMerge w:val="continue"/>
            <w:noWrap w:val="0"/>
            <w:vAlign w:val="center"/>
          </w:tcPr>
          <w:p w14:paraId="5E5CB14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12ACB0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71BB3F5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06BE94C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512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0" w:type="dxa"/>
            <w:noWrap w:val="0"/>
            <w:vAlign w:val="center"/>
          </w:tcPr>
          <w:p w14:paraId="1A76E09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29</w:t>
            </w:r>
          </w:p>
        </w:tc>
        <w:tc>
          <w:tcPr>
            <w:tcW w:w="2175" w:type="dxa"/>
            <w:noWrap w:val="0"/>
            <w:vAlign w:val="center"/>
          </w:tcPr>
          <w:p w14:paraId="507639C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培养箱</w:t>
            </w:r>
          </w:p>
        </w:tc>
        <w:tc>
          <w:tcPr>
            <w:tcW w:w="1250" w:type="dxa"/>
            <w:vMerge w:val="continue"/>
            <w:noWrap w:val="0"/>
            <w:vAlign w:val="center"/>
          </w:tcPr>
          <w:p w14:paraId="7502E87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A083BA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6325030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2BE8A77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A82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879A10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w:t>
            </w:r>
          </w:p>
        </w:tc>
        <w:tc>
          <w:tcPr>
            <w:tcW w:w="2175" w:type="dxa"/>
            <w:noWrap w:val="0"/>
            <w:vAlign w:val="center"/>
          </w:tcPr>
          <w:p w14:paraId="6186BED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显微镜</w:t>
            </w:r>
          </w:p>
        </w:tc>
        <w:tc>
          <w:tcPr>
            <w:tcW w:w="1250" w:type="dxa"/>
            <w:vMerge w:val="restart"/>
            <w:noWrap w:val="0"/>
            <w:vAlign w:val="center"/>
          </w:tcPr>
          <w:p w14:paraId="2FC7383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食品中霉菌计数检验</w:t>
            </w:r>
          </w:p>
        </w:tc>
        <w:tc>
          <w:tcPr>
            <w:tcW w:w="763" w:type="dxa"/>
            <w:noWrap w:val="0"/>
            <w:vAlign w:val="center"/>
          </w:tcPr>
          <w:p w14:paraId="004FB09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AABB72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2A6D7CF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209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6F140B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31</w:t>
            </w:r>
          </w:p>
        </w:tc>
        <w:tc>
          <w:tcPr>
            <w:tcW w:w="2175" w:type="dxa"/>
            <w:noWrap w:val="0"/>
            <w:vAlign w:val="center"/>
          </w:tcPr>
          <w:p w14:paraId="23E0E89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百级无菌室</w:t>
            </w:r>
          </w:p>
        </w:tc>
        <w:tc>
          <w:tcPr>
            <w:tcW w:w="1250" w:type="dxa"/>
            <w:vMerge w:val="continue"/>
            <w:noWrap w:val="0"/>
            <w:vAlign w:val="center"/>
          </w:tcPr>
          <w:p w14:paraId="27C8EC2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33F011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547324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13FBB26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D8E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6C9409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w:t>
            </w:r>
          </w:p>
        </w:tc>
        <w:tc>
          <w:tcPr>
            <w:tcW w:w="2175" w:type="dxa"/>
            <w:noWrap w:val="0"/>
            <w:vAlign w:val="center"/>
          </w:tcPr>
          <w:p w14:paraId="55B9272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PH分析仪</w:t>
            </w:r>
          </w:p>
        </w:tc>
        <w:tc>
          <w:tcPr>
            <w:tcW w:w="1250" w:type="dxa"/>
            <w:vMerge w:val="continue"/>
            <w:noWrap w:val="0"/>
            <w:vAlign w:val="center"/>
          </w:tcPr>
          <w:p w14:paraId="4709D80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46F8F4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7E0639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949" w:type="dxa"/>
            <w:vMerge w:val="continue"/>
            <w:noWrap w:val="0"/>
            <w:vAlign w:val="center"/>
          </w:tcPr>
          <w:p w14:paraId="311839A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FCA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FDE27A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33</w:t>
            </w:r>
          </w:p>
        </w:tc>
        <w:tc>
          <w:tcPr>
            <w:tcW w:w="2175" w:type="dxa"/>
            <w:noWrap w:val="0"/>
            <w:vAlign w:val="center"/>
          </w:tcPr>
          <w:p w14:paraId="778FD4A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水浴炉</w:t>
            </w:r>
          </w:p>
        </w:tc>
        <w:tc>
          <w:tcPr>
            <w:tcW w:w="1250" w:type="dxa"/>
            <w:vMerge w:val="continue"/>
            <w:noWrap w:val="0"/>
            <w:vAlign w:val="center"/>
          </w:tcPr>
          <w:p w14:paraId="7C11DFA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7FD475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47EC45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49" w:type="dxa"/>
            <w:vMerge w:val="continue"/>
            <w:noWrap w:val="0"/>
            <w:vAlign w:val="center"/>
          </w:tcPr>
          <w:p w14:paraId="604EC84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B6C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14346D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34</w:t>
            </w:r>
          </w:p>
        </w:tc>
        <w:tc>
          <w:tcPr>
            <w:tcW w:w="2175" w:type="dxa"/>
            <w:noWrap w:val="0"/>
            <w:vAlign w:val="center"/>
          </w:tcPr>
          <w:p w14:paraId="0EEBB4E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示教</w:t>
            </w:r>
            <w:r>
              <w:rPr>
                <w:rFonts w:hint="eastAsia" w:ascii="宋体" w:hAnsi="宋体" w:eastAsia="宋体" w:cs="宋体"/>
                <w:sz w:val="21"/>
                <w:szCs w:val="21"/>
                <w:vertAlign w:val="baseline"/>
              </w:rPr>
              <w:t>显微镜</w:t>
            </w:r>
          </w:p>
        </w:tc>
        <w:tc>
          <w:tcPr>
            <w:tcW w:w="1250" w:type="dxa"/>
            <w:vMerge w:val="continue"/>
            <w:noWrap w:val="0"/>
            <w:vAlign w:val="center"/>
          </w:tcPr>
          <w:p w14:paraId="6D3DA32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38B5C7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483D157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32D1F77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9BB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F73E7A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35</w:t>
            </w:r>
          </w:p>
        </w:tc>
        <w:tc>
          <w:tcPr>
            <w:tcW w:w="2175" w:type="dxa"/>
            <w:noWrap w:val="0"/>
            <w:vAlign w:val="center"/>
          </w:tcPr>
          <w:p w14:paraId="437E2EE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检测操作台</w:t>
            </w:r>
          </w:p>
        </w:tc>
        <w:tc>
          <w:tcPr>
            <w:tcW w:w="1250" w:type="dxa"/>
            <w:vMerge w:val="continue"/>
            <w:noWrap w:val="0"/>
            <w:vAlign w:val="center"/>
          </w:tcPr>
          <w:p w14:paraId="32AF586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560283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3C1FAB1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7BA8AF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FDB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FC49C7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w:t>
            </w:r>
          </w:p>
        </w:tc>
        <w:tc>
          <w:tcPr>
            <w:tcW w:w="2175" w:type="dxa"/>
            <w:noWrap w:val="0"/>
            <w:vAlign w:val="center"/>
          </w:tcPr>
          <w:p w14:paraId="60BF032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环境消毒设备</w:t>
            </w:r>
          </w:p>
        </w:tc>
        <w:tc>
          <w:tcPr>
            <w:tcW w:w="1250" w:type="dxa"/>
            <w:vMerge w:val="continue"/>
            <w:noWrap w:val="0"/>
            <w:vAlign w:val="center"/>
          </w:tcPr>
          <w:p w14:paraId="4985014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A50D6B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283D415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19C9A33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F6D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967ADB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37</w:t>
            </w:r>
          </w:p>
        </w:tc>
        <w:tc>
          <w:tcPr>
            <w:tcW w:w="2175" w:type="dxa"/>
            <w:noWrap w:val="0"/>
            <w:vAlign w:val="center"/>
          </w:tcPr>
          <w:p w14:paraId="561AA94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干燥箱</w:t>
            </w:r>
          </w:p>
        </w:tc>
        <w:tc>
          <w:tcPr>
            <w:tcW w:w="1250" w:type="dxa"/>
            <w:vMerge w:val="continue"/>
            <w:noWrap w:val="0"/>
            <w:vAlign w:val="center"/>
          </w:tcPr>
          <w:p w14:paraId="14CB438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8718F2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662646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74ACC95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484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16B14A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38</w:t>
            </w:r>
          </w:p>
        </w:tc>
        <w:tc>
          <w:tcPr>
            <w:tcW w:w="2175" w:type="dxa"/>
            <w:noWrap w:val="0"/>
            <w:vAlign w:val="center"/>
          </w:tcPr>
          <w:p w14:paraId="5F610AB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玻璃器皿</w:t>
            </w:r>
          </w:p>
        </w:tc>
        <w:tc>
          <w:tcPr>
            <w:tcW w:w="1250" w:type="dxa"/>
            <w:vMerge w:val="continue"/>
            <w:noWrap w:val="0"/>
            <w:vAlign w:val="center"/>
          </w:tcPr>
          <w:p w14:paraId="0F5744A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0E5D52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5FF6EE0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49A7878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E9D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CABC38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39</w:t>
            </w:r>
          </w:p>
        </w:tc>
        <w:tc>
          <w:tcPr>
            <w:tcW w:w="2175" w:type="dxa"/>
            <w:noWrap w:val="0"/>
            <w:vAlign w:val="center"/>
          </w:tcPr>
          <w:p w14:paraId="2FEF56E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培养箱</w:t>
            </w:r>
          </w:p>
        </w:tc>
        <w:tc>
          <w:tcPr>
            <w:tcW w:w="1250" w:type="dxa"/>
            <w:vMerge w:val="continue"/>
            <w:noWrap w:val="0"/>
            <w:vAlign w:val="center"/>
          </w:tcPr>
          <w:p w14:paraId="311E06D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9FD8AB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316EB7A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131D077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277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5ECD41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2175" w:type="dxa"/>
            <w:noWrap w:val="0"/>
            <w:vAlign w:val="center"/>
          </w:tcPr>
          <w:p w14:paraId="632B44B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摇床</w:t>
            </w:r>
          </w:p>
        </w:tc>
        <w:tc>
          <w:tcPr>
            <w:tcW w:w="1250" w:type="dxa"/>
            <w:vMerge w:val="continue"/>
            <w:noWrap w:val="0"/>
            <w:vAlign w:val="center"/>
          </w:tcPr>
          <w:p w14:paraId="6EC05A0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D69E4E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1EACEDF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64CDFD4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367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555E94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41</w:t>
            </w:r>
          </w:p>
        </w:tc>
        <w:tc>
          <w:tcPr>
            <w:tcW w:w="2175" w:type="dxa"/>
            <w:noWrap w:val="0"/>
            <w:vAlign w:val="center"/>
          </w:tcPr>
          <w:p w14:paraId="115115D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百级无菌室</w:t>
            </w:r>
          </w:p>
        </w:tc>
        <w:tc>
          <w:tcPr>
            <w:tcW w:w="1250" w:type="dxa"/>
            <w:vMerge w:val="restart"/>
            <w:noWrap w:val="0"/>
            <w:vAlign w:val="center"/>
          </w:tcPr>
          <w:p w14:paraId="6B6421A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食品中肠道致病菌检验</w:t>
            </w:r>
          </w:p>
        </w:tc>
        <w:tc>
          <w:tcPr>
            <w:tcW w:w="763" w:type="dxa"/>
            <w:noWrap w:val="0"/>
            <w:vAlign w:val="center"/>
          </w:tcPr>
          <w:p w14:paraId="6BCA949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352F711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restart"/>
            <w:noWrap w:val="0"/>
            <w:vAlign w:val="center"/>
          </w:tcPr>
          <w:p w14:paraId="39DEA92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《食品质量检验员》（四、五级）、《食品检验工》（中级）</w:t>
            </w:r>
          </w:p>
        </w:tc>
      </w:tr>
      <w:tr w14:paraId="6239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4B5CE88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42</w:t>
            </w:r>
          </w:p>
        </w:tc>
        <w:tc>
          <w:tcPr>
            <w:tcW w:w="2175" w:type="dxa"/>
            <w:noWrap w:val="0"/>
            <w:vAlign w:val="center"/>
          </w:tcPr>
          <w:p w14:paraId="456A98E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PH分析仪</w:t>
            </w:r>
          </w:p>
        </w:tc>
        <w:tc>
          <w:tcPr>
            <w:tcW w:w="1250" w:type="dxa"/>
            <w:vMerge w:val="continue"/>
            <w:noWrap w:val="0"/>
            <w:vAlign w:val="center"/>
          </w:tcPr>
          <w:p w14:paraId="328A4ED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EF76CA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3EC5930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949" w:type="dxa"/>
            <w:vMerge w:val="continue"/>
            <w:noWrap w:val="0"/>
            <w:vAlign w:val="center"/>
          </w:tcPr>
          <w:p w14:paraId="1959CD6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1E09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330D2A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43</w:t>
            </w:r>
          </w:p>
        </w:tc>
        <w:tc>
          <w:tcPr>
            <w:tcW w:w="2175" w:type="dxa"/>
            <w:noWrap w:val="0"/>
            <w:vAlign w:val="center"/>
          </w:tcPr>
          <w:p w14:paraId="38B4ADB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水浴炉</w:t>
            </w:r>
          </w:p>
        </w:tc>
        <w:tc>
          <w:tcPr>
            <w:tcW w:w="1250" w:type="dxa"/>
            <w:vMerge w:val="continue"/>
            <w:noWrap w:val="0"/>
            <w:vAlign w:val="center"/>
          </w:tcPr>
          <w:p w14:paraId="4B937C1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1EC0B5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6D82FC8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49" w:type="dxa"/>
            <w:vMerge w:val="continue"/>
            <w:noWrap w:val="0"/>
            <w:vAlign w:val="center"/>
          </w:tcPr>
          <w:p w14:paraId="6AC3269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813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14717F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44</w:t>
            </w:r>
          </w:p>
        </w:tc>
        <w:tc>
          <w:tcPr>
            <w:tcW w:w="2175" w:type="dxa"/>
            <w:noWrap w:val="0"/>
            <w:vAlign w:val="center"/>
          </w:tcPr>
          <w:p w14:paraId="3FF8477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显微镜</w:t>
            </w:r>
          </w:p>
        </w:tc>
        <w:tc>
          <w:tcPr>
            <w:tcW w:w="1250" w:type="dxa"/>
            <w:vMerge w:val="continue"/>
            <w:noWrap w:val="0"/>
            <w:vAlign w:val="center"/>
          </w:tcPr>
          <w:p w14:paraId="22A3277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4E8FA1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BB7E8A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D8480F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FA1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DB9A4D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45</w:t>
            </w:r>
          </w:p>
        </w:tc>
        <w:tc>
          <w:tcPr>
            <w:tcW w:w="2175" w:type="dxa"/>
            <w:noWrap w:val="0"/>
            <w:vAlign w:val="center"/>
          </w:tcPr>
          <w:p w14:paraId="5875A9B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示教</w:t>
            </w:r>
            <w:r>
              <w:rPr>
                <w:rFonts w:hint="eastAsia" w:ascii="宋体" w:hAnsi="宋体" w:eastAsia="宋体" w:cs="宋体"/>
                <w:sz w:val="21"/>
                <w:szCs w:val="21"/>
                <w:vertAlign w:val="baseline"/>
              </w:rPr>
              <w:t>显微镜</w:t>
            </w:r>
          </w:p>
        </w:tc>
        <w:tc>
          <w:tcPr>
            <w:tcW w:w="1250" w:type="dxa"/>
            <w:vMerge w:val="continue"/>
            <w:noWrap w:val="0"/>
            <w:vAlign w:val="center"/>
          </w:tcPr>
          <w:p w14:paraId="7FF1E61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A72C5A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7A2958A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7EE0193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644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D9F675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46</w:t>
            </w:r>
          </w:p>
        </w:tc>
        <w:tc>
          <w:tcPr>
            <w:tcW w:w="2175" w:type="dxa"/>
            <w:noWrap w:val="0"/>
            <w:vAlign w:val="center"/>
          </w:tcPr>
          <w:p w14:paraId="7CDAA0F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检测操作台</w:t>
            </w:r>
          </w:p>
        </w:tc>
        <w:tc>
          <w:tcPr>
            <w:tcW w:w="1250" w:type="dxa"/>
            <w:vMerge w:val="continue"/>
            <w:noWrap w:val="0"/>
            <w:vAlign w:val="center"/>
          </w:tcPr>
          <w:p w14:paraId="46E951D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DAE9C1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1B59FE1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754D0F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FE9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43BA2D4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47</w:t>
            </w:r>
          </w:p>
        </w:tc>
        <w:tc>
          <w:tcPr>
            <w:tcW w:w="2175" w:type="dxa"/>
            <w:noWrap w:val="0"/>
            <w:vAlign w:val="center"/>
          </w:tcPr>
          <w:p w14:paraId="358499B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环境消毒设备</w:t>
            </w:r>
          </w:p>
        </w:tc>
        <w:tc>
          <w:tcPr>
            <w:tcW w:w="1250" w:type="dxa"/>
            <w:vMerge w:val="continue"/>
            <w:noWrap w:val="0"/>
            <w:vAlign w:val="center"/>
          </w:tcPr>
          <w:p w14:paraId="7FBE06A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05D74A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2EA8042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6624513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660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EF385A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48</w:t>
            </w:r>
          </w:p>
        </w:tc>
        <w:tc>
          <w:tcPr>
            <w:tcW w:w="2175" w:type="dxa"/>
            <w:noWrap w:val="0"/>
            <w:vAlign w:val="center"/>
          </w:tcPr>
          <w:p w14:paraId="6E2C21F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干燥箱</w:t>
            </w:r>
          </w:p>
        </w:tc>
        <w:tc>
          <w:tcPr>
            <w:tcW w:w="1250" w:type="dxa"/>
            <w:vMerge w:val="continue"/>
            <w:noWrap w:val="0"/>
            <w:vAlign w:val="center"/>
          </w:tcPr>
          <w:p w14:paraId="7716E1E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30A2383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52B0CF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5269A5F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F80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20940E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49</w:t>
            </w:r>
          </w:p>
        </w:tc>
        <w:tc>
          <w:tcPr>
            <w:tcW w:w="2175" w:type="dxa"/>
            <w:noWrap w:val="0"/>
            <w:vAlign w:val="center"/>
          </w:tcPr>
          <w:p w14:paraId="34F6A03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玻璃器皿</w:t>
            </w:r>
          </w:p>
        </w:tc>
        <w:tc>
          <w:tcPr>
            <w:tcW w:w="1250" w:type="dxa"/>
            <w:vMerge w:val="continue"/>
            <w:noWrap w:val="0"/>
            <w:vAlign w:val="center"/>
          </w:tcPr>
          <w:p w14:paraId="49E7132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5278A9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472DE05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6D16676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AC4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C5B670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50</w:t>
            </w:r>
          </w:p>
        </w:tc>
        <w:tc>
          <w:tcPr>
            <w:tcW w:w="2175" w:type="dxa"/>
            <w:noWrap w:val="0"/>
            <w:vAlign w:val="center"/>
          </w:tcPr>
          <w:p w14:paraId="2B40412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培养箱</w:t>
            </w:r>
          </w:p>
        </w:tc>
        <w:tc>
          <w:tcPr>
            <w:tcW w:w="1250" w:type="dxa"/>
            <w:vMerge w:val="continue"/>
            <w:noWrap w:val="0"/>
            <w:vAlign w:val="center"/>
          </w:tcPr>
          <w:p w14:paraId="313CF0E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6135CB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E38AC5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24FA35F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D00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2E43C8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51</w:t>
            </w:r>
          </w:p>
        </w:tc>
        <w:tc>
          <w:tcPr>
            <w:tcW w:w="2175" w:type="dxa"/>
            <w:noWrap w:val="0"/>
            <w:vAlign w:val="center"/>
          </w:tcPr>
          <w:p w14:paraId="71001FF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摇床</w:t>
            </w:r>
          </w:p>
        </w:tc>
        <w:tc>
          <w:tcPr>
            <w:tcW w:w="1250" w:type="dxa"/>
            <w:vMerge w:val="continue"/>
            <w:noWrap w:val="0"/>
            <w:vAlign w:val="center"/>
          </w:tcPr>
          <w:p w14:paraId="60457EF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59DEF62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2632573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75D2CDE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572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45011BD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52</w:t>
            </w:r>
          </w:p>
        </w:tc>
        <w:tc>
          <w:tcPr>
            <w:tcW w:w="2175" w:type="dxa"/>
            <w:noWrap w:val="0"/>
            <w:vAlign w:val="center"/>
          </w:tcPr>
          <w:p w14:paraId="16CDDC7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百级无菌室</w:t>
            </w:r>
          </w:p>
        </w:tc>
        <w:tc>
          <w:tcPr>
            <w:tcW w:w="1250" w:type="dxa"/>
            <w:vMerge w:val="restart"/>
            <w:noWrap w:val="0"/>
            <w:vAlign w:val="center"/>
          </w:tcPr>
          <w:p w14:paraId="7E156BA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食品中致病性球菌的检验</w:t>
            </w:r>
          </w:p>
        </w:tc>
        <w:tc>
          <w:tcPr>
            <w:tcW w:w="763" w:type="dxa"/>
            <w:noWrap w:val="0"/>
            <w:vAlign w:val="center"/>
          </w:tcPr>
          <w:p w14:paraId="322E709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3FD82B3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21D61BD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785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264612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53</w:t>
            </w:r>
          </w:p>
        </w:tc>
        <w:tc>
          <w:tcPr>
            <w:tcW w:w="2175" w:type="dxa"/>
            <w:noWrap w:val="0"/>
            <w:vAlign w:val="center"/>
          </w:tcPr>
          <w:p w14:paraId="21D6132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PH分析仪</w:t>
            </w:r>
          </w:p>
        </w:tc>
        <w:tc>
          <w:tcPr>
            <w:tcW w:w="1250" w:type="dxa"/>
            <w:vMerge w:val="continue"/>
            <w:noWrap w:val="0"/>
            <w:vAlign w:val="center"/>
          </w:tcPr>
          <w:p w14:paraId="708193A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94B96C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8D839D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949" w:type="dxa"/>
            <w:vMerge w:val="continue"/>
            <w:noWrap w:val="0"/>
            <w:vAlign w:val="center"/>
          </w:tcPr>
          <w:p w14:paraId="79CA58C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2CC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A90878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54</w:t>
            </w:r>
          </w:p>
        </w:tc>
        <w:tc>
          <w:tcPr>
            <w:tcW w:w="2175" w:type="dxa"/>
            <w:noWrap w:val="0"/>
            <w:vAlign w:val="center"/>
          </w:tcPr>
          <w:p w14:paraId="61F8A10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显微镜</w:t>
            </w:r>
          </w:p>
        </w:tc>
        <w:tc>
          <w:tcPr>
            <w:tcW w:w="1250" w:type="dxa"/>
            <w:vMerge w:val="continue"/>
            <w:noWrap w:val="0"/>
            <w:vAlign w:val="center"/>
          </w:tcPr>
          <w:p w14:paraId="60237EB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80B538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F3CEC8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1E4D569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518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A54BA8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55</w:t>
            </w:r>
          </w:p>
        </w:tc>
        <w:tc>
          <w:tcPr>
            <w:tcW w:w="2175" w:type="dxa"/>
            <w:noWrap w:val="0"/>
            <w:vAlign w:val="center"/>
          </w:tcPr>
          <w:p w14:paraId="46E91B9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示教</w:t>
            </w:r>
            <w:r>
              <w:rPr>
                <w:rFonts w:hint="eastAsia" w:ascii="宋体" w:hAnsi="宋体" w:eastAsia="宋体" w:cs="宋体"/>
                <w:sz w:val="21"/>
                <w:szCs w:val="21"/>
                <w:vertAlign w:val="baseline"/>
              </w:rPr>
              <w:t>显微镜</w:t>
            </w:r>
          </w:p>
        </w:tc>
        <w:tc>
          <w:tcPr>
            <w:tcW w:w="1250" w:type="dxa"/>
            <w:vMerge w:val="continue"/>
            <w:noWrap w:val="0"/>
            <w:vAlign w:val="center"/>
          </w:tcPr>
          <w:p w14:paraId="46756BD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9AAF10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06C5A72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278B442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EFF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7C164A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56</w:t>
            </w:r>
          </w:p>
        </w:tc>
        <w:tc>
          <w:tcPr>
            <w:tcW w:w="2175" w:type="dxa"/>
            <w:noWrap w:val="0"/>
            <w:vAlign w:val="center"/>
          </w:tcPr>
          <w:p w14:paraId="2745024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检测操作台</w:t>
            </w:r>
          </w:p>
        </w:tc>
        <w:tc>
          <w:tcPr>
            <w:tcW w:w="1250" w:type="dxa"/>
            <w:vMerge w:val="continue"/>
            <w:noWrap w:val="0"/>
            <w:vAlign w:val="center"/>
          </w:tcPr>
          <w:p w14:paraId="2AFFE00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AAFAC7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2E9C079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72532E2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25A6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6ACC7B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57</w:t>
            </w:r>
          </w:p>
        </w:tc>
        <w:tc>
          <w:tcPr>
            <w:tcW w:w="2175" w:type="dxa"/>
            <w:noWrap w:val="0"/>
            <w:vAlign w:val="center"/>
          </w:tcPr>
          <w:p w14:paraId="1D55FDD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环境消毒设备</w:t>
            </w:r>
          </w:p>
        </w:tc>
        <w:tc>
          <w:tcPr>
            <w:tcW w:w="1250" w:type="dxa"/>
            <w:vMerge w:val="continue"/>
            <w:noWrap w:val="0"/>
            <w:vAlign w:val="center"/>
          </w:tcPr>
          <w:p w14:paraId="275E635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39252E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517A998D">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2E9124C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F9D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4F8F9D3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58</w:t>
            </w:r>
          </w:p>
        </w:tc>
        <w:tc>
          <w:tcPr>
            <w:tcW w:w="2175" w:type="dxa"/>
            <w:noWrap w:val="0"/>
            <w:vAlign w:val="center"/>
          </w:tcPr>
          <w:p w14:paraId="7609711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干燥箱</w:t>
            </w:r>
          </w:p>
        </w:tc>
        <w:tc>
          <w:tcPr>
            <w:tcW w:w="1250" w:type="dxa"/>
            <w:vMerge w:val="continue"/>
            <w:noWrap w:val="0"/>
            <w:vAlign w:val="center"/>
          </w:tcPr>
          <w:p w14:paraId="62DC63F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5039A9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211EBCD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679520D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0B2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2FE383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59</w:t>
            </w:r>
          </w:p>
        </w:tc>
        <w:tc>
          <w:tcPr>
            <w:tcW w:w="2175" w:type="dxa"/>
            <w:noWrap w:val="0"/>
            <w:vAlign w:val="center"/>
          </w:tcPr>
          <w:p w14:paraId="0508E1D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玻璃器皿</w:t>
            </w:r>
          </w:p>
        </w:tc>
        <w:tc>
          <w:tcPr>
            <w:tcW w:w="1250" w:type="dxa"/>
            <w:vMerge w:val="continue"/>
            <w:noWrap w:val="0"/>
            <w:vAlign w:val="center"/>
          </w:tcPr>
          <w:p w14:paraId="55C7B32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42672F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3478CA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39D4152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B46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D7D3C7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w:t>
            </w:r>
          </w:p>
        </w:tc>
        <w:tc>
          <w:tcPr>
            <w:tcW w:w="2175" w:type="dxa"/>
            <w:noWrap w:val="0"/>
            <w:vAlign w:val="center"/>
          </w:tcPr>
          <w:p w14:paraId="7CB6189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培养箱</w:t>
            </w:r>
          </w:p>
        </w:tc>
        <w:tc>
          <w:tcPr>
            <w:tcW w:w="1250" w:type="dxa"/>
            <w:vMerge w:val="continue"/>
            <w:noWrap w:val="0"/>
            <w:vAlign w:val="center"/>
          </w:tcPr>
          <w:p w14:paraId="296E0D4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54882F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55E8D23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759AEF3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F40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4BD655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61</w:t>
            </w:r>
          </w:p>
        </w:tc>
        <w:tc>
          <w:tcPr>
            <w:tcW w:w="2175" w:type="dxa"/>
            <w:noWrap w:val="0"/>
            <w:vAlign w:val="center"/>
          </w:tcPr>
          <w:p w14:paraId="4056584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摇床</w:t>
            </w:r>
          </w:p>
        </w:tc>
        <w:tc>
          <w:tcPr>
            <w:tcW w:w="1250" w:type="dxa"/>
            <w:vMerge w:val="continue"/>
            <w:noWrap w:val="0"/>
            <w:vAlign w:val="center"/>
          </w:tcPr>
          <w:p w14:paraId="0F87FBA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1C0CBD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660BCB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0EBE0A4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D7B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2AF201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62</w:t>
            </w:r>
          </w:p>
        </w:tc>
        <w:tc>
          <w:tcPr>
            <w:tcW w:w="2175" w:type="dxa"/>
            <w:noWrap w:val="0"/>
            <w:vAlign w:val="center"/>
          </w:tcPr>
          <w:p w14:paraId="6D99A5D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水浴炉</w:t>
            </w:r>
          </w:p>
        </w:tc>
        <w:tc>
          <w:tcPr>
            <w:tcW w:w="1250" w:type="dxa"/>
            <w:vMerge w:val="continue"/>
            <w:noWrap w:val="0"/>
            <w:vAlign w:val="center"/>
          </w:tcPr>
          <w:p w14:paraId="1ADD837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737873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10A3E1B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49" w:type="dxa"/>
            <w:vMerge w:val="continue"/>
            <w:noWrap w:val="0"/>
            <w:vAlign w:val="center"/>
          </w:tcPr>
          <w:p w14:paraId="1319130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46A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719F482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63</w:t>
            </w:r>
          </w:p>
        </w:tc>
        <w:tc>
          <w:tcPr>
            <w:tcW w:w="2175" w:type="dxa"/>
            <w:noWrap w:val="0"/>
            <w:vAlign w:val="center"/>
          </w:tcPr>
          <w:p w14:paraId="59002D6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百级无菌室</w:t>
            </w:r>
          </w:p>
        </w:tc>
        <w:tc>
          <w:tcPr>
            <w:tcW w:w="1250" w:type="dxa"/>
            <w:vMerge w:val="restart"/>
            <w:noWrap w:val="0"/>
            <w:vAlign w:val="center"/>
          </w:tcPr>
          <w:p w14:paraId="0E98BB7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食品中条件致病菌检验</w:t>
            </w:r>
          </w:p>
        </w:tc>
        <w:tc>
          <w:tcPr>
            <w:tcW w:w="763" w:type="dxa"/>
            <w:noWrap w:val="0"/>
            <w:vAlign w:val="center"/>
          </w:tcPr>
          <w:p w14:paraId="7588DE1E">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5E280AE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25CBE59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BD7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7B111F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64</w:t>
            </w:r>
          </w:p>
        </w:tc>
        <w:tc>
          <w:tcPr>
            <w:tcW w:w="2175" w:type="dxa"/>
            <w:noWrap w:val="0"/>
            <w:vAlign w:val="center"/>
          </w:tcPr>
          <w:p w14:paraId="165E251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PH分析仪</w:t>
            </w:r>
          </w:p>
        </w:tc>
        <w:tc>
          <w:tcPr>
            <w:tcW w:w="1250" w:type="dxa"/>
            <w:vMerge w:val="continue"/>
            <w:noWrap w:val="0"/>
            <w:vAlign w:val="center"/>
          </w:tcPr>
          <w:p w14:paraId="450DD463">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625588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7C8747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1949" w:type="dxa"/>
            <w:vMerge w:val="continue"/>
            <w:noWrap w:val="0"/>
            <w:vAlign w:val="center"/>
          </w:tcPr>
          <w:p w14:paraId="507DA88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5989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4FDE727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65</w:t>
            </w:r>
          </w:p>
        </w:tc>
        <w:tc>
          <w:tcPr>
            <w:tcW w:w="2175" w:type="dxa"/>
            <w:noWrap w:val="0"/>
            <w:vAlign w:val="center"/>
          </w:tcPr>
          <w:p w14:paraId="5BBDE535">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显微镜</w:t>
            </w:r>
          </w:p>
        </w:tc>
        <w:tc>
          <w:tcPr>
            <w:tcW w:w="1250" w:type="dxa"/>
            <w:vMerge w:val="continue"/>
            <w:noWrap w:val="0"/>
            <w:vAlign w:val="center"/>
          </w:tcPr>
          <w:p w14:paraId="63A4004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0A2B6C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02BF132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7A85697D">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564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0C5EF4D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66</w:t>
            </w:r>
          </w:p>
        </w:tc>
        <w:tc>
          <w:tcPr>
            <w:tcW w:w="2175" w:type="dxa"/>
            <w:noWrap w:val="0"/>
            <w:vAlign w:val="center"/>
          </w:tcPr>
          <w:p w14:paraId="04697DB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示教</w:t>
            </w:r>
            <w:r>
              <w:rPr>
                <w:rFonts w:hint="eastAsia" w:ascii="宋体" w:hAnsi="宋体" w:eastAsia="宋体" w:cs="宋体"/>
                <w:sz w:val="21"/>
                <w:szCs w:val="21"/>
                <w:vertAlign w:val="baseline"/>
              </w:rPr>
              <w:t>显微镜</w:t>
            </w:r>
          </w:p>
        </w:tc>
        <w:tc>
          <w:tcPr>
            <w:tcW w:w="1250" w:type="dxa"/>
            <w:vMerge w:val="continue"/>
            <w:noWrap w:val="0"/>
            <w:vAlign w:val="center"/>
          </w:tcPr>
          <w:p w14:paraId="49E96C5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2CB8B66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C6A858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5FE89B3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0541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34ECB11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67</w:t>
            </w:r>
          </w:p>
        </w:tc>
        <w:tc>
          <w:tcPr>
            <w:tcW w:w="2175" w:type="dxa"/>
            <w:noWrap w:val="0"/>
            <w:vAlign w:val="center"/>
          </w:tcPr>
          <w:p w14:paraId="4AC07B50">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检测操作台</w:t>
            </w:r>
          </w:p>
        </w:tc>
        <w:tc>
          <w:tcPr>
            <w:tcW w:w="1250" w:type="dxa"/>
            <w:vMerge w:val="continue"/>
            <w:noWrap w:val="0"/>
            <w:vAlign w:val="center"/>
          </w:tcPr>
          <w:p w14:paraId="5E5CF20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E4F695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5CD6262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2B770B7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46D7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1E01760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68</w:t>
            </w:r>
          </w:p>
        </w:tc>
        <w:tc>
          <w:tcPr>
            <w:tcW w:w="2175" w:type="dxa"/>
            <w:noWrap w:val="0"/>
            <w:vAlign w:val="center"/>
          </w:tcPr>
          <w:p w14:paraId="784E741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rPr>
            </w:pPr>
            <w:r>
              <w:rPr>
                <w:rFonts w:hint="eastAsia" w:ascii="宋体" w:hAnsi="宋体" w:eastAsia="宋体" w:cs="宋体"/>
                <w:sz w:val="21"/>
                <w:szCs w:val="21"/>
                <w:vertAlign w:val="baseline"/>
              </w:rPr>
              <w:t>环境消毒设备</w:t>
            </w:r>
          </w:p>
        </w:tc>
        <w:tc>
          <w:tcPr>
            <w:tcW w:w="1250" w:type="dxa"/>
            <w:vMerge w:val="continue"/>
            <w:noWrap w:val="0"/>
            <w:vAlign w:val="center"/>
          </w:tcPr>
          <w:p w14:paraId="2ECD3B4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772B8E8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5B505B9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131EC9EC">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A09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2A15B50">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69</w:t>
            </w:r>
          </w:p>
        </w:tc>
        <w:tc>
          <w:tcPr>
            <w:tcW w:w="2175" w:type="dxa"/>
            <w:noWrap w:val="0"/>
            <w:vAlign w:val="center"/>
          </w:tcPr>
          <w:p w14:paraId="6A71BC16">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干燥箱</w:t>
            </w:r>
          </w:p>
        </w:tc>
        <w:tc>
          <w:tcPr>
            <w:tcW w:w="1250" w:type="dxa"/>
            <w:vMerge w:val="continue"/>
            <w:noWrap w:val="0"/>
            <w:vAlign w:val="center"/>
          </w:tcPr>
          <w:p w14:paraId="5E0AED7A">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6B10559A">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2D94A071">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2B0926FE">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D5E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21FF3598">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70</w:t>
            </w:r>
          </w:p>
        </w:tc>
        <w:tc>
          <w:tcPr>
            <w:tcW w:w="2175" w:type="dxa"/>
            <w:noWrap w:val="0"/>
            <w:vAlign w:val="center"/>
          </w:tcPr>
          <w:p w14:paraId="52A624C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玻璃器皿</w:t>
            </w:r>
          </w:p>
        </w:tc>
        <w:tc>
          <w:tcPr>
            <w:tcW w:w="1250" w:type="dxa"/>
            <w:vMerge w:val="continue"/>
            <w:noWrap w:val="0"/>
            <w:vAlign w:val="center"/>
          </w:tcPr>
          <w:p w14:paraId="2D2BA966">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19FDF3A8">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332E2C94">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1949" w:type="dxa"/>
            <w:vMerge w:val="continue"/>
            <w:noWrap w:val="0"/>
            <w:vAlign w:val="center"/>
          </w:tcPr>
          <w:p w14:paraId="55AD056F">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37F9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7DEEBB1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71</w:t>
            </w:r>
          </w:p>
        </w:tc>
        <w:tc>
          <w:tcPr>
            <w:tcW w:w="2175" w:type="dxa"/>
            <w:noWrap w:val="0"/>
            <w:vAlign w:val="center"/>
          </w:tcPr>
          <w:p w14:paraId="0FF83A1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培养箱</w:t>
            </w:r>
          </w:p>
        </w:tc>
        <w:tc>
          <w:tcPr>
            <w:tcW w:w="1250" w:type="dxa"/>
            <w:vMerge w:val="continue"/>
            <w:noWrap w:val="0"/>
            <w:vAlign w:val="center"/>
          </w:tcPr>
          <w:p w14:paraId="69941167">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0ED87862">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60BBFF0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49" w:type="dxa"/>
            <w:vMerge w:val="continue"/>
            <w:noWrap w:val="0"/>
            <w:vAlign w:val="center"/>
          </w:tcPr>
          <w:p w14:paraId="48DCF02B">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7E3B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5F253D54">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72</w:t>
            </w:r>
          </w:p>
        </w:tc>
        <w:tc>
          <w:tcPr>
            <w:tcW w:w="2175" w:type="dxa"/>
            <w:noWrap w:val="0"/>
            <w:vAlign w:val="center"/>
          </w:tcPr>
          <w:p w14:paraId="2BDB8DC7">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摇床</w:t>
            </w:r>
          </w:p>
        </w:tc>
        <w:tc>
          <w:tcPr>
            <w:tcW w:w="1250" w:type="dxa"/>
            <w:vMerge w:val="continue"/>
            <w:noWrap w:val="0"/>
            <w:vAlign w:val="center"/>
          </w:tcPr>
          <w:p w14:paraId="557D24B2">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106E503">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1200" w:type="dxa"/>
            <w:noWrap w:val="0"/>
            <w:vAlign w:val="center"/>
          </w:tcPr>
          <w:p w14:paraId="629F70B9">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49" w:type="dxa"/>
            <w:vMerge w:val="continue"/>
            <w:noWrap w:val="0"/>
            <w:vAlign w:val="center"/>
          </w:tcPr>
          <w:p w14:paraId="71611EC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r w14:paraId="67DD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noWrap w:val="0"/>
            <w:vAlign w:val="center"/>
          </w:tcPr>
          <w:p w14:paraId="6628EED1">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73</w:t>
            </w:r>
          </w:p>
        </w:tc>
        <w:tc>
          <w:tcPr>
            <w:tcW w:w="2175" w:type="dxa"/>
            <w:noWrap w:val="0"/>
            <w:vAlign w:val="center"/>
          </w:tcPr>
          <w:p w14:paraId="29AB566F">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水浴炉</w:t>
            </w:r>
          </w:p>
        </w:tc>
        <w:tc>
          <w:tcPr>
            <w:tcW w:w="1250" w:type="dxa"/>
            <w:vMerge w:val="continue"/>
            <w:noWrap w:val="0"/>
            <w:vAlign w:val="center"/>
          </w:tcPr>
          <w:p w14:paraId="2EFF3B29">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c>
          <w:tcPr>
            <w:tcW w:w="763" w:type="dxa"/>
            <w:noWrap w:val="0"/>
            <w:vAlign w:val="center"/>
          </w:tcPr>
          <w:p w14:paraId="4980720C">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台</w:t>
            </w:r>
          </w:p>
        </w:tc>
        <w:tc>
          <w:tcPr>
            <w:tcW w:w="1200" w:type="dxa"/>
            <w:noWrap w:val="0"/>
            <w:vAlign w:val="center"/>
          </w:tcPr>
          <w:p w14:paraId="32557D2B">
            <w:pPr>
              <w:keepNext w:val="0"/>
              <w:keepLines w:val="0"/>
              <w:pageBreakBefore w:val="0"/>
              <w:widowControl w:val="0"/>
              <w:kinsoku w:val="0"/>
              <w:wordWrap/>
              <w:overflowPunct/>
              <w:topLinePunct w:val="0"/>
              <w:autoSpaceDE w:val="0"/>
              <w:autoSpaceDN w:val="0"/>
              <w:bidi w:val="0"/>
              <w:adjustRightInd w:val="0"/>
              <w:snapToGrid/>
              <w:spacing w:line="440" w:lineRule="exact"/>
              <w:ind w:right="0" w:rightChars="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49" w:type="dxa"/>
            <w:vMerge w:val="continue"/>
            <w:noWrap w:val="0"/>
            <w:vAlign w:val="center"/>
          </w:tcPr>
          <w:p w14:paraId="053F0595">
            <w:pPr>
              <w:keepNext w:val="0"/>
              <w:keepLines w:val="0"/>
              <w:pageBreakBefore w:val="0"/>
              <w:widowControl w:val="0"/>
              <w:kinsoku w:val="0"/>
              <w:wordWrap/>
              <w:overflowPunct/>
              <w:topLinePunct w:val="0"/>
              <w:autoSpaceDE w:val="0"/>
              <w:autoSpaceDN w:val="0"/>
              <w:bidi w:val="0"/>
              <w:adjustRightInd w:val="0"/>
              <w:snapToGrid/>
              <w:spacing w:line="440" w:lineRule="exact"/>
              <w:ind w:right="0"/>
              <w:jc w:val="center"/>
              <w:textAlignment w:val="baseline"/>
              <w:rPr>
                <w:rFonts w:hint="eastAsia" w:ascii="宋体" w:hAnsi="宋体" w:eastAsia="宋体" w:cs="宋体"/>
                <w:sz w:val="21"/>
                <w:szCs w:val="21"/>
                <w:vertAlign w:val="baseline"/>
              </w:rPr>
            </w:pPr>
          </w:p>
        </w:tc>
      </w:tr>
    </w:tbl>
    <w:p w14:paraId="1AFB8AF9">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20" w:firstLineChars="200"/>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zh-CN"/>
        </w:rPr>
        <w:t>说明：主要工具和设施设备的数量按照标准班（40人/班）配置</w:t>
      </w:r>
      <w:r>
        <w:rPr>
          <w:rFonts w:hint="eastAsia" w:ascii="宋体" w:hAnsi="宋体" w:eastAsia="宋体" w:cs="宋体"/>
          <w:kern w:val="0"/>
          <w:sz w:val="21"/>
          <w:szCs w:val="21"/>
          <w:lang w:val="zh-CN" w:eastAsia="zh-CN"/>
        </w:rPr>
        <w:t>。</w:t>
      </w:r>
    </w:p>
    <w:p w14:paraId="3C570357">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2" w:firstLineChars="200"/>
        <w:textAlignment w:val="auto"/>
        <w:rPr>
          <w:rFonts w:hint="eastAsia" w:ascii="宋体" w:hAnsi="宋体" w:eastAsia="宋体" w:cs="宋体"/>
          <w:b/>
          <w:bCs/>
          <w:kern w:val="0"/>
          <w:sz w:val="24"/>
          <w:szCs w:val="24"/>
          <w:lang w:val="zh-CN"/>
        </w:rPr>
      </w:pPr>
      <w:r>
        <w:rPr>
          <w:rFonts w:hint="eastAsia" w:ascii="宋体" w:hAnsi="宋体" w:eastAsia="宋体" w:cs="宋体"/>
          <w:b/>
          <w:bCs/>
          <w:kern w:val="0"/>
          <w:sz w:val="24"/>
          <w:szCs w:val="24"/>
          <w:lang w:val="zh-CN"/>
        </w:rPr>
        <w:t>2.校外实训基地</w:t>
      </w:r>
    </w:p>
    <w:p w14:paraId="138E1B21">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校外实训基地要与专业方向对口，可由学校独立建设或与外部企事业单位按 照优势互补、互惠互利的原则联合建设；校外实训基地要能满足食品检验检测、食品加工生产等方面的教学实习和岗位实习的要求，能够满足专业实践教学、技 能训练要求，使学生掌握实际操作技能。同时，让学生认知职业、了解企业文化、进行认知实习和岗位实习，实现以校企合作、产教融合为平台，实施校企人才共 育，成果共享，提升人才培养质量。</w:t>
      </w:r>
      <w:bookmarkStart w:id="61" w:name="_Toc23247"/>
      <w:bookmarkStart w:id="62" w:name="_Toc113290246"/>
      <w:bookmarkStart w:id="63" w:name="_Toc19346"/>
    </w:p>
    <w:p w14:paraId="1B9ED27B">
      <w:pPr>
        <w:pStyle w:val="3"/>
        <w:bidi w:val="0"/>
        <w:rPr>
          <w:rFonts w:hint="eastAsia"/>
          <w:sz w:val="24"/>
          <w:szCs w:val="24"/>
          <w:lang w:val="zh-CN" w:eastAsia="zh-CN"/>
        </w:rPr>
      </w:pPr>
      <w:bookmarkStart w:id="64" w:name="_Toc1728228582"/>
      <w:r>
        <w:rPr>
          <w:rFonts w:hint="eastAsia"/>
          <w:sz w:val="24"/>
          <w:szCs w:val="24"/>
          <w:lang w:val="zh-CN" w:eastAsia="zh-CN"/>
        </w:rPr>
        <w:t>（四）教学资源</w:t>
      </w:r>
      <w:bookmarkEnd w:id="61"/>
      <w:bookmarkEnd w:id="62"/>
      <w:bookmarkEnd w:id="63"/>
      <w:bookmarkEnd w:id="64"/>
    </w:p>
    <w:p w14:paraId="4B239793">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bookmarkStart w:id="65" w:name="_Toc3280"/>
      <w:bookmarkStart w:id="66" w:name="_Toc4093"/>
      <w:bookmarkStart w:id="67" w:name="_Toc113290248"/>
      <w:r>
        <w:rPr>
          <w:rFonts w:hint="eastAsia" w:ascii="宋体" w:hAnsi="宋体" w:eastAsia="宋体" w:cs="宋体"/>
          <w:kern w:val="0"/>
          <w:sz w:val="24"/>
          <w:szCs w:val="24"/>
          <w:lang w:val="zh-CN"/>
        </w:rPr>
        <w:t>1.教材选用：选用中等职业教育国家规划教材。专业教材体现产业发展的 新技术、新工艺、新规范，发挥专业教师、行业专家等作用，规范专业教材遴选 程序，禁止不合格的教材进入课堂。根据专业性、基础性、实用性的原则，组织专业教师结合课程特点和教学需要，编写专业课程教材，建设有特色、高质量的校本教材。</w:t>
      </w:r>
    </w:p>
    <w:p w14:paraId="16BDB5EF">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2.图书资源配备：配备食品药品与粮油行业政策法规、职业标准、技术手 册、实务案例及专业期刊等图书文献，如《中华人民共和国食品安全法》《中华 人民共和国反食品浪费法》《中华人民共和国产品质量法》《中华人民共和国农 产品质量安全法》《中华人民共和国标准化法》《中华人民共和国食品安全法实施条例》《中华人民共和国标准化法实施条例》《粮食流通管理条例》《关于加强食品等产品安全监督管理的特别规定》《食品生产经营监督检查管理办法》《食品生产许可管理办法》等；有规范的食品加工工艺专业教学计划、课程标准、教学标准、实践教学任务书等完备的教学文件，如教育部《中等职业学校专业目录》等。</w:t>
      </w:r>
    </w:p>
    <w:p w14:paraId="597F38F9">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3.数字资源配备：充分利用智慧职教、云课堂、超星学习通 APP 等平台有关食品药品与粮食大类、旅游大类、生物与化工专业国家教学资源库中相关数字化资源。学校也可以根据自身条件及需求，研发部分核心课程的数字化资源，同时，在食品加工工艺专业实训教学场所建设 1 个及以上的虚拟仿真实训室，建有 与实训内容相配套的信息化教学资源，能够组织开展信息化实训教学活动。建设、配备与食品加工工艺专业有关的音视频素材、教学课件、数字化教学案例、虚拟仿真软件、数字教材等数字资源，提供国家食品安全风险评估中心、国家标准化管理委员会、国家食品质量监督检验中心、中国食品药品国际交流中心、中国食品工业协会、食品论坛、中国营养保健食品协会等重要网站，做到种类丰富、形式多样、使用便捷、动态更新，能满足教学要求。</w:t>
      </w:r>
    </w:p>
    <w:p w14:paraId="62A234A7">
      <w:pPr>
        <w:pStyle w:val="3"/>
        <w:bidi w:val="0"/>
        <w:rPr>
          <w:rFonts w:hint="eastAsia"/>
          <w:sz w:val="24"/>
          <w:szCs w:val="24"/>
          <w:lang w:val="zh-CN" w:eastAsia="zh-CN"/>
        </w:rPr>
      </w:pPr>
      <w:bookmarkStart w:id="68" w:name="_Toc1621451999"/>
      <w:r>
        <w:rPr>
          <w:rFonts w:hint="eastAsia"/>
          <w:sz w:val="24"/>
          <w:szCs w:val="24"/>
          <w:lang w:val="zh-CN" w:eastAsia="zh-CN"/>
        </w:rPr>
        <w:t>（五）</w:t>
      </w:r>
      <w:bookmarkEnd w:id="65"/>
      <w:bookmarkEnd w:id="66"/>
      <w:bookmarkEnd w:id="67"/>
      <w:r>
        <w:rPr>
          <w:rFonts w:hint="eastAsia"/>
          <w:sz w:val="24"/>
          <w:szCs w:val="24"/>
          <w:lang w:val="zh-CN" w:eastAsia="zh-CN"/>
        </w:rPr>
        <w:t>教学方法</w:t>
      </w:r>
      <w:bookmarkEnd w:id="68"/>
    </w:p>
    <w:p w14:paraId="2640D69E">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b w:val="0"/>
          <w:bCs w:val="0"/>
          <w:kern w:val="0"/>
          <w:sz w:val="24"/>
          <w:szCs w:val="24"/>
          <w:lang w:val="zh-CN"/>
        </w:rPr>
      </w:pPr>
      <w:r>
        <w:rPr>
          <w:rFonts w:hint="eastAsia" w:ascii="宋体" w:hAnsi="宋体" w:eastAsia="宋体" w:cs="宋体"/>
          <w:b w:val="0"/>
          <w:bCs w:val="0"/>
          <w:kern w:val="0"/>
          <w:sz w:val="24"/>
          <w:szCs w:val="24"/>
          <w:lang w:val="zh-CN"/>
        </w:rPr>
        <w:t>本专业以学生为中心，根据专业特色，采用“岗课赛证”融通的新学徒制人 才培养模式，将岗位标准、大赛内容+证书标准全面融入专业课程，建立“三标合一”“岗课赛证”相融合的模块化课程体系，同时以“岗课赛证”四位一体 融通培养为载体，打造基于“岗课赛证”的新学徒制综合育人模式，形成以学校为基础、行业为主体、学校教学与企业培养紧密联系、政府推动与社会支持相互结合的技能人才开发体系。</w:t>
      </w:r>
    </w:p>
    <w:p w14:paraId="539B7ECB">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b w:val="0"/>
          <w:bCs w:val="0"/>
          <w:kern w:val="0"/>
          <w:sz w:val="24"/>
          <w:szCs w:val="24"/>
          <w:lang w:val="zh-CN"/>
        </w:rPr>
      </w:pPr>
      <w:r>
        <w:rPr>
          <w:rFonts w:hint="eastAsia" w:ascii="宋体" w:hAnsi="宋体" w:eastAsia="宋体" w:cs="宋体"/>
          <w:b w:val="0"/>
          <w:bCs w:val="0"/>
          <w:kern w:val="0"/>
          <w:sz w:val="24"/>
          <w:szCs w:val="24"/>
          <w:lang w:val="zh-CN"/>
        </w:rPr>
        <w:t>结合学校“六个合一”教学模式，以项目导向、任务驱动为理念，以内容重构、角色转变和教学环节的融通为途径，以教学过程对接生产过程为目标，形成学生与学徒合一、教师与师傅合一、课堂教学与职场训练合一、在堂教学与在线教学合一、技能培养与职业鉴定合一、作品与产品合一的“理实一体”“岗课赛证融通”的教学模式。</w:t>
      </w:r>
    </w:p>
    <w:p w14:paraId="1FC8AB46">
      <w:pPr>
        <w:pStyle w:val="3"/>
        <w:bidi w:val="0"/>
        <w:rPr>
          <w:rFonts w:hint="eastAsia"/>
          <w:sz w:val="24"/>
          <w:szCs w:val="24"/>
          <w:lang w:val="zh-CN" w:eastAsia="zh-CN"/>
        </w:rPr>
      </w:pPr>
      <w:bookmarkStart w:id="69" w:name="_Toc176266763"/>
      <w:r>
        <w:rPr>
          <w:rFonts w:hint="eastAsia"/>
          <w:sz w:val="24"/>
          <w:szCs w:val="24"/>
          <w:lang w:val="zh-CN" w:eastAsia="zh-CN"/>
        </w:rPr>
        <w:t>（六）学习评价</w:t>
      </w:r>
      <w:bookmarkEnd w:id="69"/>
    </w:p>
    <w:p w14:paraId="5FB8E0D1">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2" w:firstLineChars="200"/>
        <w:textAlignment w:val="auto"/>
        <w:rPr>
          <w:rFonts w:hint="eastAsia" w:ascii="宋体" w:hAnsi="宋体" w:eastAsia="宋体" w:cs="宋体"/>
          <w:b/>
          <w:bCs/>
          <w:kern w:val="0"/>
          <w:sz w:val="24"/>
          <w:szCs w:val="24"/>
          <w:lang w:val="zh-CN"/>
        </w:rPr>
      </w:pPr>
      <w:bookmarkStart w:id="70" w:name="_Toc113290249"/>
      <w:bookmarkStart w:id="71" w:name="_Toc5683"/>
      <w:bookmarkStart w:id="72" w:name="_Toc22464"/>
      <w:r>
        <w:rPr>
          <w:rFonts w:hint="eastAsia" w:ascii="宋体" w:hAnsi="宋体" w:eastAsia="宋体" w:cs="宋体"/>
          <w:b/>
          <w:bCs/>
          <w:kern w:val="0"/>
          <w:sz w:val="24"/>
          <w:szCs w:val="24"/>
          <w:lang w:val="zh-CN"/>
        </w:rPr>
        <w:t>1.课程考核</w:t>
      </w:r>
    </w:p>
    <w:p w14:paraId="3B4C5021">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课程“以学生发展为中心”，采用过程性考核和终结性考核相结合的考核模式，实现评价主体和内容的多元化，既关注学生专业能力，又关注学生关键能力的发展，既要加强对学生知识技能的考核，又要加强对学生课程学习过程的督导，从而激发学生学习的主动性和积极性，促进教学过程的优化。</w:t>
      </w:r>
    </w:p>
    <w:p w14:paraId="403E6258">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2" w:firstLineChars="200"/>
        <w:textAlignment w:val="auto"/>
        <w:rPr>
          <w:rFonts w:hint="eastAsia" w:ascii="宋体" w:hAnsi="宋体" w:eastAsia="宋体" w:cs="宋体"/>
          <w:b/>
          <w:bCs/>
          <w:kern w:val="0"/>
          <w:sz w:val="24"/>
          <w:szCs w:val="24"/>
          <w:lang w:val="zh-CN"/>
        </w:rPr>
      </w:pPr>
      <w:r>
        <w:rPr>
          <w:rFonts w:hint="eastAsia" w:ascii="宋体" w:hAnsi="宋体" w:eastAsia="宋体" w:cs="宋体"/>
          <w:b/>
          <w:bCs/>
          <w:kern w:val="0"/>
          <w:sz w:val="24"/>
          <w:szCs w:val="24"/>
          <w:lang w:val="zh-CN"/>
        </w:rPr>
        <w:t>（1）过程考核</w:t>
      </w:r>
    </w:p>
    <w:p w14:paraId="341E26F9">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主要用于考查学生学习过程中对专业知识的综合运用和技能的掌握及学生解决问题的能力，主要通过完成具体的学习工作的实施过程来进行评价。从学生在课堂学习和参与项目的态度和职业素养及回答问题等方面进行考核评价，同时,从在完成任务过程中所获得的实践经验、学生的语言表达和人际交往及合作能力、工作任务或项目完成情况、安全意识、操作规范性和节能环保意识等方面来进行综合考核评价。</w:t>
      </w:r>
    </w:p>
    <w:p w14:paraId="11801373">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2" w:firstLineChars="200"/>
        <w:textAlignment w:val="auto"/>
        <w:rPr>
          <w:rFonts w:hint="eastAsia" w:ascii="宋体" w:hAnsi="宋体" w:eastAsia="宋体" w:cs="宋体"/>
          <w:b/>
          <w:bCs/>
          <w:kern w:val="0"/>
          <w:sz w:val="24"/>
          <w:szCs w:val="24"/>
          <w:lang w:val="zh-CN"/>
        </w:rPr>
      </w:pPr>
      <w:r>
        <w:rPr>
          <w:rFonts w:hint="eastAsia" w:ascii="宋体" w:hAnsi="宋体" w:eastAsia="宋体" w:cs="宋体"/>
          <w:b/>
          <w:bCs/>
          <w:kern w:val="0"/>
          <w:sz w:val="24"/>
          <w:szCs w:val="24"/>
          <w:lang w:val="zh-CN"/>
        </w:rPr>
        <w:t>（2）期末考核</w:t>
      </w:r>
    </w:p>
    <w:p w14:paraId="78B3F6C5">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主要用于考核学生对课程知识的理解和掌握，通过期末考试或考核等方式来进行考核评价。</w:t>
      </w:r>
    </w:p>
    <w:p w14:paraId="207FE08F">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2" w:firstLineChars="200"/>
        <w:textAlignment w:val="auto"/>
        <w:rPr>
          <w:rFonts w:hint="eastAsia" w:ascii="宋体" w:hAnsi="宋体" w:eastAsia="宋体" w:cs="宋体"/>
          <w:b/>
          <w:bCs/>
          <w:kern w:val="0"/>
          <w:sz w:val="24"/>
          <w:szCs w:val="24"/>
          <w:lang w:val="zh-CN"/>
        </w:rPr>
      </w:pPr>
      <w:r>
        <w:rPr>
          <w:rFonts w:hint="eastAsia" w:ascii="宋体" w:hAnsi="宋体" w:eastAsia="宋体" w:cs="宋体"/>
          <w:b/>
          <w:bCs/>
          <w:kern w:val="0"/>
          <w:sz w:val="24"/>
          <w:szCs w:val="24"/>
          <w:lang w:val="zh-CN"/>
        </w:rPr>
        <w:t>（3）教学总体评价</w:t>
      </w:r>
    </w:p>
    <w:p w14:paraId="32673B73">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根据课程的目标与过程性考核评价成绩、终结性考核评价的相关程度，按比例计入课程期末成绩。</w:t>
      </w:r>
    </w:p>
    <w:p w14:paraId="06637030">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highlight w:val="none"/>
          <w:lang w:val="zh-CN" w:eastAsia="zh-CN"/>
        </w:rPr>
      </w:pPr>
      <w:r>
        <w:rPr>
          <w:rFonts w:hint="eastAsia" w:ascii="宋体" w:hAnsi="宋体" w:eastAsia="宋体" w:cs="宋体"/>
          <w:kern w:val="0"/>
          <w:sz w:val="24"/>
          <w:szCs w:val="24"/>
          <w:lang w:val="zh-CN"/>
        </w:rPr>
        <w:t>课程期评成绩=</w:t>
      </w:r>
      <w:r>
        <w:rPr>
          <w:rFonts w:hint="eastAsia" w:ascii="宋体" w:hAnsi="宋体" w:eastAsia="宋体" w:cs="宋体"/>
          <w:kern w:val="0"/>
          <w:sz w:val="24"/>
          <w:szCs w:val="24"/>
          <w:highlight w:val="none"/>
          <w:lang w:val="zh-CN"/>
        </w:rPr>
        <w:t>期末考核成绩*0.</w:t>
      </w:r>
      <w:r>
        <w:rPr>
          <w:rFonts w:hint="eastAsia" w:ascii="宋体" w:hAnsi="宋体" w:cs="宋体"/>
          <w:kern w:val="0"/>
          <w:sz w:val="24"/>
          <w:szCs w:val="24"/>
          <w:highlight w:val="none"/>
          <w:lang w:val="en-US" w:eastAsia="zh-CN"/>
        </w:rPr>
        <w:t>7</w:t>
      </w:r>
      <w:r>
        <w:rPr>
          <w:rFonts w:hint="eastAsia" w:ascii="宋体" w:hAnsi="宋体" w:eastAsia="宋体" w:cs="宋体"/>
          <w:kern w:val="0"/>
          <w:sz w:val="24"/>
          <w:szCs w:val="24"/>
          <w:highlight w:val="none"/>
          <w:lang w:val="zh-CN"/>
        </w:rPr>
        <w:t>+过程考核*0.</w:t>
      </w:r>
      <w:r>
        <w:rPr>
          <w:rFonts w:hint="eastAsia" w:ascii="宋体" w:hAnsi="宋体" w:cs="宋体"/>
          <w:kern w:val="0"/>
          <w:sz w:val="24"/>
          <w:szCs w:val="24"/>
          <w:highlight w:val="none"/>
          <w:lang w:val="en-US" w:eastAsia="zh-CN"/>
        </w:rPr>
        <w:t>3</w:t>
      </w:r>
    </w:p>
    <w:p w14:paraId="256D154C">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2" w:firstLineChars="200"/>
        <w:textAlignment w:val="auto"/>
        <w:rPr>
          <w:rFonts w:hint="eastAsia" w:ascii="宋体" w:hAnsi="宋体" w:eastAsia="宋体" w:cs="宋体"/>
          <w:b/>
          <w:bCs/>
          <w:kern w:val="0"/>
          <w:sz w:val="24"/>
          <w:szCs w:val="24"/>
          <w:highlight w:val="none"/>
          <w:lang w:val="zh-CN"/>
        </w:rPr>
      </w:pPr>
      <w:r>
        <w:rPr>
          <w:rFonts w:hint="eastAsia" w:ascii="宋体" w:hAnsi="宋体" w:eastAsia="宋体" w:cs="宋体"/>
          <w:b/>
          <w:bCs/>
          <w:kern w:val="0"/>
          <w:sz w:val="24"/>
          <w:szCs w:val="24"/>
          <w:highlight w:val="none"/>
          <w:lang w:val="zh-CN"/>
        </w:rPr>
        <w:t>2.认知实习的考核评价</w:t>
      </w:r>
    </w:p>
    <w:p w14:paraId="428305E8">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highlight w:val="none"/>
          <w:lang w:val="zh-CN"/>
        </w:rPr>
        <w:t>认知实习是指学生到</w:t>
      </w:r>
      <w:r>
        <w:rPr>
          <w:rFonts w:hint="eastAsia" w:ascii="宋体" w:hAnsi="宋体" w:eastAsia="宋体" w:cs="宋体"/>
          <w:kern w:val="0"/>
          <w:sz w:val="24"/>
          <w:szCs w:val="24"/>
          <w:highlight w:val="none"/>
          <w:lang w:val="en-US" w:eastAsia="zh-CN"/>
        </w:rPr>
        <w:t>工作场景</w:t>
      </w:r>
      <w:r>
        <w:rPr>
          <w:rFonts w:hint="eastAsia" w:ascii="宋体" w:hAnsi="宋体" w:eastAsia="宋体" w:cs="宋体"/>
          <w:kern w:val="0"/>
          <w:sz w:val="24"/>
          <w:szCs w:val="24"/>
          <w:highlight w:val="none"/>
          <w:lang w:val="zh-CN"/>
        </w:rPr>
        <w:t>参观</w:t>
      </w:r>
      <w:r>
        <w:rPr>
          <w:rFonts w:hint="eastAsia" w:ascii="宋体" w:hAnsi="宋体" w:eastAsia="宋体" w:cs="宋体"/>
          <w:kern w:val="0"/>
          <w:sz w:val="24"/>
          <w:szCs w:val="24"/>
          <w:lang w:val="zh-CN"/>
        </w:rPr>
        <w:t>、观摩和体验，形成对专业和相关岗位的初步认识。第一学期学校组织开展认知实习，实习结束后，学生提交认知实习</w:t>
      </w:r>
      <w:r>
        <w:rPr>
          <w:rFonts w:hint="eastAsia" w:ascii="宋体" w:hAnsi="宋体" w:eastAsia="宋体" w:cs="宋体"/>
          <w:kern w:val="0"/>
          <w:sz w:val="24"/>
          <w:szCs w:val="24"/>
        </w:rPr>
        <w:t>心得体会</w:t>
      </w:r>
      <w:r>
        <w:rPr>
          <w:rFonts w:hint="eastAsia" w:ascii="宋体" w:hAnsi="宋体" w:eastAsia="宋体" w:cs="宋体"/>
          <w:kern w:val="0"/>
          <w:sz w:val="24"/>
          <w:szCs w:val="24"/>
          <w:lang w:val="zh-CN"/>
        </w:rPr>
        <w:t>。系部组织考核评价，成绩分为优秀、良好、合格、不合格四个等级。</w:t>
      </w:r>
    </w:p>
    <w:p w14:paraId="7E159DE6">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2" w:firstLineChars="200"/>
        <w:textAlignment w:val="auto"/>
        <w:rPr>
          <w:rFonts w:hint="eastAsia" w:ascii="宋体" w:hAnsi="宋体" w:eastAsia="宋体" w:cs="宋体"/>
          <w:b/>
          <w:bCs/>
          <w:kern w:val="0"/>
          <w:sz w:val="24"/>
          <w:szCs w:val="24"/>
          <w:lang w:val="zh-CN"/>
        </w:rPr>
      </w:pPr>
      <w:r>
        <w:rPr>
          <w:rFonts w:hint="eastAsia" w:ascii="宋体" w:hAnsi="宋体" w:eastAsia="宋体" w:cs="宋体"/>
          <w:b/>
          <w:bCs/>
          <w:kern w:val="0"/>
          <w:sz w:val="24"/>
          <w:szCs w:val="24"/>
          <w:lang w:val="zh-CN"/>
        </w:rPr>
        <w:t>3.岗位实习的考核评价</w:t>
      </w:r>
    </w:p>
    <w:p w14:paraId="17481696">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岗位实习包括跟岗实习、顶岗实习。成立由企业指导教师、专业指导教师、带队教师组成的考核组，主要对学生在岗位实习期间的劳动纪律、工作态度、团队合作精神、人际沟通能力、专业技术能力和任务完成等方面情况进行考核评价。成绩分为优秀、良好、合格、不合格四个等级。</w:t>
      </w:r>
    </w:p>
    <w:p w14:paraId="6F699DCD">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val="zh-CN"/>
        </w:rPr>
        <w:t>）企业考核：占考核成绩40</w:t>
      </w:r>
      <w:r>
        <w:rPr>
          <w:rFonts w:hint="eastAsia" w:ascii="宋体" w:hAnsi="宋体" w:eastAsia="宋体" w:cs="宋体"/>
          <w:kern w:val="0"/>
          <w:sz w:val="24"/>
          <w:szCs w:val="24"/>
        </w:rPr>
        <w:t>%</w:t>
      </w:r>
      <w:r>
        <w:rPr>
          <w:rFonts w:hint="eastAsia" w:ascii="宋体" w:hAnsi="宋体" w:eastAsia="宋体" w:cs="宋体"/>
          <w:kern w:val="0"/>
          <w:sz w:val="24"/>
          <w:szCs w:val="24"/>
          <w:lang w:val="zh-CN"/>
        </w:rPr>
        <w:t>，根据学生在企业的工作态度和掌握的专业技能进行综合评定。</w:t>
      </w:r>
    </w:p>
    <w:p w14:paraId="5940383F">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val="zh-CN"/>
        </w:rPr>
        <w:t>）专业指导教师、带队教师考核：占</w:t>
      </w:r>
      <w:r>
        <w:rPr>
          <w:rFonts w:hint="eastAsia" w:ascii="宋体" w:hAnsi="宋体" w:eastAsia="宋体" w:cs="宋体"/>
          <w:kern w:val="0"/>
          <w:sz w:val="24"/>
          <w:szCs w:val="24"/>
          <w:highlight w:val="none"/>
          <w:lang w:val="zh-CN"/>
        </w:rPr>
        <w:t>考核成绩</w:t>
      </w:r>
      <w:r>
        <w:rPr>
          <w:rFonts w:hint="eastAsia" w:ascii="宋体" w:hAnsi="宋体" w:eastAsia="宋体" w:cs="宋体"/>
          <w:kern w:val="0"/>
          <w:sz w:val="24"/>
          <w:szCs w:val="24"/>
          <w:highlight w:val="none"/>
          <w:lang w:val="en-US" w:eastAsia="zh-CN"/>
        </w:rPr>
        <w:t>4</w:t>
      </w:r>
      <w:r>
        <w:rPr>
          <w:rFonts w:hint="eastAsia" w:ascii="宋体" w:hAnsi="宋体" w:eastAsia="宋体" w:cs="宋体"/>
          <w:kern w:val="0"/>
          <w:sz w:val="24"/>
          <w:szCs w:val="24"/>
          <w:highlight w:val="none"/>
          <w:lang w:val="zh-CN"/>
        </w:rPr>
        <w:t>0</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zh-CN"/>
        </w:rPr>
        <w:t>，</w:t>
      </w:r>
      <w:r>
        <w:rPr>
          <w:rFonts w:hint="eastAsia" w:ascii="宋体" w:hAnsi="宋体" w:eastAsia="宋体" w:cs="宋体"/>
          <w:kern w:val="0"/>
          <w:sz w:val="24"/>
          <w:szCs w:val="24"/>
          <w:lang w:val="zh-CN"/>
        </w:rPr>
        <w:t>根据学生在企业的工作态度、遵守纪律和掌握的专业技能进行综合评估。</w:t>
      </w:r>
    </w:p>
    <w:p w14:paraId="5BC67CA8">
      <w:pPr>
        <w:keepNext w:val="0"/>
        <w:keepLines w:val="0"/>
        <w:pageBreakBefore w:val="0"/>
        <w:widowControl w:val="0"/>
        <w:tabs>
          <w:tab w:val="left" w:pos="2190"/>
        </w:tabs>
        <w:kinsoku/>
        <w:wordWrap/>
        <w:overflowPunct/>
        <w:topLinePunct w:val="0"/>
        <w:autoSpaceDE w:val="0"/>
        <w:autoSpaceDN w:val="0"/>
        <w:bidi w:val="0"/>
        <w:adjustRightInd w:val="0"/>
        <w:snapToGrid w:val="0"/>
        <w:spacing w:line="440" w:lineRule="exact"/>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lang w:val="zh-CN"/>
        </w:rPr>
        <w:t>）实习报告：占考核成绩20</w:t>
      </w:r>
      <w:r>
        <w:rPr>
          <w:rFonts w:hint="eastAsia" w:ascii="宋体" w:hAnsi="宋体" w:eastAsia="宋体" w:cs="宋体"/>
          <w:kern w:val="0"/>
          <w:sz w:val="24"/>
          <w:szCs w:val="24"/>
        </w:rPr>
        <w:t>%</w:t>
      </w:r>
      <w:r>
        <w:rPr>
          <w:rFonts w:hint="eastAsia" w:ascii="宋体" w:hAnsi="宋体" w:eastAsia="宋体" w:cs="宋体"/>
          <w:kern w:val="0"/>
          <w:sz w:val="24"/>
          <w:szCs w:val="24"/>
          <w:lang w:val="zh-CN"/>
        </w:rPr>
        <w:t>，实习报告中应包括实习计划的执行情况、质量分析与评估、存在问题与解决措施、经验体会与建议等。</w:t>
      </w:r>
    </w:p>
    <w:p w14:paraId="7F22EE9E">
      <w:pPr>
        <w:pStyle w:val="3"/>
        <w:bidi w:val="0"/>
        <w:rPr>
          <w:rFonts w:hint="eastAsia"/>
          <w:sz w:val="24"/>
          <w:szCs w:val="24"/>
          <w:lang w:val="zh-CN" w:eastAsia="zh-CN"/>
        </w:rPr>
      </w:pPr>
      <w:bookmarkStart w:id="73" w:name="_Toc1135536528"/>
      <w:r>
        <w:rPr>
          <w:rFonts w:hint="eastAsia"/>
          <w:sz w:val="24"/>
          <w:szCs w:val="24"/>
          <w:lang w:val="zh-CN" w:eastAsia="zh-CN"/>
        </w:rPr>
        <w:t>（七）质量</w:t>
      </w:r>
      <w:bookmarkEnd w:id="70"/>
      <w:bookmarkEnd w:id="71"/>
      <w:bookmarkEnd w:id="72"/>
      <w:r>
        <w:rPr>
          <w:rFonts w:hint="eastAsia"/>
          <w:sz w:val="24"/>
          <w:szCs w:val="24"/>
          <w:lang w:val="zh-CN" w:eastAsia="zh-CN"/>
        </w:rPr>
        <w:t>保障</w:t>
      </w:r>
      <w:bookmarkEnd w:id="73"/>
    </w:p>
    <w:p w14:paraId="2E9D23BF">
      <w:pPr>
        <w:keepNext w:val="0"/>
        <w:keepLines w:val="0"/>
        <w:pageBreakBefore w:val="0"/>
        <w:widowControl w:val="0"/>
        <w:kinsoku/>
        <w:wordWrap/>
        <w:overflowPunct/>
        <w:topLinePunct w:val="0"/>
        <w:bidi w:val="0"/>
        <w:spacing w:line="440" w:lineRule="exact"/>
        <w:ind w:firstLine="480" w:firstLineChars="200"/>
        <w:textAlignment w:val="auto"/>
        <w:rPr>
          <w:rFonts w:hint="eastAsia" w:ascii="宋体" w:hAnsi="宋体" w:eastAsia="宋体" w:cs="宋体"/>
          <w:sz w:val="24"/>
          <w:szCs w:val="28"/>
          <w:lang w:val="zh-CN"/>
        </w:rPr>
      </w:pPr>
      <w:r>
        <w:rPr>
          <w:rFonts w:hint="eastAsia" w:ascii="宋体" w:hAnsi="宋体" w:eastAsia="宋体" w:cs="宋体"/>
          <w:sz w:val="24"/>
          <w:szCs w:val="28"/>
          <w:lang w:val="zh-CN"/>
        </w:rPr>
        <w:t>以保障和提高教学质量为目标，学校建立健全了专业人才培养方案实施情况 的评价、反馈和改进机制，运用系统方法，依靠必要的组织结构，统筹考虑影响 教学质量的各主要因素，结合教学诊断与改进、质量年报等自主保证人才培养质  量的工作，统筹管理学校各部门、各环节的教学质量管理活动，形成任务、职责、 权限明确，相互协调、相互促进的质量管理有机整体。并根据经济社会发展需求、 技术发展趋势和教育教学改革实际，及时优化调整。</w:t>
      </w:r>
    </w:p>
    <w:p w14:paraId="323F7A51">
      <w:pPr>
        <w:pStyle w:val="2"/>
        <w:keepNext/>
        <w:keepLines/>
        <w:pageBreakBefore w:val="0"/>
        <w:widowControl w:val="0"/>
        <w:kinsoku/>
        <w:wordWrap/>
        <w:overflowPunct/>
        <w:topLinePunct w:val="0"/>
        <w:autoSpaceDE/>
        <w:autoSpaceDN/>
        <w:bidi w:val="0"/>
        <w:adjustRightInd/>
        <w:snapToGrid/>
        <w:spacing w:before="100" w:after="120"/>
        <w:textAlignment w:val="auto"/>
        <w:rPr>
          <w:rFonts w:hint="eastAsia" w:ascii="黑体" w:hAnsi="黑体" w:eastAsia="黑体" w:cs="黑体"/>
          <w:b w:val="0"/>
          <w:bCs/>
          <w:sz w:val="28"/>
          <w:szCs w:val="28"/>
          <w:lang w:val="zh-CN" w:eastAsia="zh-CN"/>
        </w:rPr>
      </w:pPr>
      <w:bookmarkStart w:id="74" w:name="_Toc149212744"/>
      <w:bookmarkStart w:id="75" w:name="_Toc275255207"/>
      <w:r>
        <w:rPr>
          <w:rFonts w:hint="eastAsia" w:ascii="黑体" w:hAnsi="黑体" w:eastAsia="黑体" w:cs="黑体"/>
          <w:b w:val="0"/>
          <w:bCs/>
          <w:sz w:val="28"/>
          <w:szCs w:val="28"/>
          <w:lang w:val="zh-CN" w:eastAsia="zh-CN"/>
        </w:rPr>
        <w:t>九、毕业要求</w:t>
      </w:r>
      <w:bookmarkEnd w:id="48"/>
      <w:bookmarkEnd w:id="49"/>
      <w:bookmarkEnd w:id="50"/>
      <w:bookmarkEnd w:id="51"/>
      <w:bookmarkEnd w:id="52"/>
      <w:bookmarkEnd w:id="53"/>
      <w:bookmarkEnd w:id="54"/>
      <w:bookmarkEnd w:id="74"/>
      <w:bookmarkEnd w:id="75"/>
      <w:bookmarkStart w:id="80" w:name="_GoBack"/>
      <w:bookmarkEnd w:id="80"/>
    </w:p>
    <w:p w14:paraId="2F9C1AE7">
      <w:pPr>
        <w:pStyle w:val="38"/>
        <w:keepNext w:val="0"/>
        <w:keepLines w:val="0"/>
        <w:pageBreakBefore w:val="0"/>
        <w:widowControl w:val="0"/>
        <w:kinsoku/>
        <w:wordWrap/>
        <w:overflowPunct/>
        <w:topLinePunct w:val="0"/>
        <w:bidi w:val="0"/>
        <w:spacing w:line="440" w:lineRule="exact"/>
        <w:ind w:firstLine="480"/>
        <w:textAlignment w:val="auto"/>
        <w:rPr>
          <w:rFonts w:hint="eastAsia" w:ascii="宋体" w:hAnsi="宋体" w:eastAsia="宋体" w:cs="宋体"/>
        </w:rPr>
      </w:pPr>
      <w:r>
        <w:rPr>
          <w:rFonts w:hint="eastAsia" w:ascii="宋体" w:hAnsi="宋体" w:eastAsia="宋体" w:cs="宋体"/>
        </w:rPr>
        <w:t>根据本专业培养目标、培养规格，以及考核要求、考核方式和考核标准，学生毕业时应达到以下要求：</w:t>
      </w:r>
    </w:p>
    <w:p w14:paraId="37F5F1C8">
      <w:pPr>
        <w:pStyle w:val="38"/>
        <w:keepNext w:val="0"/>
        <w:keepLines w:val="0"/>
        <w:pageBreakBefore w:val="0"/>
        <w:widowControl w:val="0"/>
        <w:kinsoku/>
        <w:wordWrap/>
        <w:overflowPunct/>
        <w:topLinePunct w:val="0"/>
        <w:bidi w:val="0"/>
        <w:spacing w:line="440" w:lineRule="exact"/>
        <w:ind w:firstLine="480"/>
        <w:textAlignment w:val="auto"/>
        <w:rPr>
          <w:rFonts w:hint="eastAsia" w:ascii="宋体" w:hAnsi="宋体" w:eastAsia="宋体" w:cs="宋体"/>
        </w:rPr>
      </w:pPr>
      <w:bookmarkStart w:id="76" w:name="OLE_LINK13"/>
      <w:r>
        <w:rPr>
          <w:rFonts w:hint="eastAsia" w:ascii="宋体" w:hAnsi="宋体" w:eastAsia="宋体" w:cs="宋体"/>
        </w:rPr>
        <w:t>1.无处分在身；</w:t>
      </w:r>
    </w:p>
    <w:p w14:paraId="575346D9">
      <w:pPr>
        <w:pStyle w:val="38"/>
        <w:keepNext w:val="0"/>
        <w:keepLines w:val="0"/>
        <w:pageBreakBefore w:val="0"/>
        <w:widowControl w:val="0"/>
        <w:kinsoku/>
        <w:wordWrap/>
        <w:overflowPunct/>
        <w:topLinePunct w:val="0"/>
        <w:bidi w:val="0"/>
        <w:spacing w:line="440" w:lineRule="exact"/>
        <w:ind w:firstLine="480"/>
        <w:textAlignment w:val="auto"/>
        <w:rPr>
          <w:rFonts w:hint="eastAsia" w:ascii="宋体" w:hAnsi="宋体" w:eastAsia="宋体" w:cs="宋体"/>
          <w:highlight w:val="none"/>
          <w:lang w:eastAsia="zh-CN"/>
        </w:rPr>
      </w:pPr>
      <w:r>
        <w:rPr>
          <w:rFonts w:hint="eastAsia" w:ascii="宋体" w:hAnsi="宋体" w:eastAsia="宋体" w:cs="宋体"/>
        </w:rPr>
        <w:t>2.修满人才培养方案规定的课程学分，获</w:t>
      </w:r>
      <w:r>
        <w:rPr>
          <w:rFonts w:hint="eastAsia" w:ascii="宋体" w:hAnsi="宋体" w:eastAsia="宋体" w:cs="宋体"/>
          <w:highlight w:val="none"/>
        </w:rPr>
        <w:t>得</w:t>
      </w:r>
      <w:r>
        <w:rPr>
          <w:rFonts w:hint="eastAsia" w:ascii="宋体" w:hAnsi="宋体" w:eastAsia="宋体" w:cs="宋体"/>
          <w:highlight w:val="none"/>
          <w:lang w:val="en-US" w:eastAsia="zh-CN"/>
        </w:rPr>
        <w:t>172</w:t>
      </w:r>
      <w:r>
        <w:rPr>
          <w:rFonts w:hint="eastAsia" w:ascii="宋体" w:hAnsi="宋体" w:eastAsia="宋体" w:cs="宋体"/>
          <w:highlight w:val="none"/>
        </w:rPr>
        <w:t>学分</w:t>
      </w:r>
      <w:r>
        <w:rPr>
          <w:rFonts w:hint="eastAsia" w:ascii="宋体" w:hAnsi="宋体" w:eastAsia="宋体" w:cs="宋体"/>
          <w:highlight w:val="none"/>
          <w:lang w:eastAsia="zh-CN"/>
        </w:rPr>
        <w:t>；</w:t>
      </w:r>
    </w:p>
    <w:p w14:paraId="79CEAB95">
      <w:pPr>
        <w:pStyle w:val="38"/>
        <w:keepNext w:val="0"/>
        <w:keepLines w:val="0"/>
        <w:pageBreakBefore w:val="0"/>
        <w:widowControl w:val="0"/>
        <w:kinsoku/>
        <w:wordWrap/>
        <w:overflowPunct/>
        <w:topLinePunct w:val="0"/>
        <w:bidi w:val="0"/>
        <w:spacing w:line="440" w:lineRule="exact"/>
        <w:ind w:firstLine="480"/>
        <w:textAlignment w:val="auto"/>
        <w:rPr>
          <w:rFonts w:hint="eastAsia" w:ascii="宋体" w:hAnsi="宋体" w:eastAsia="宋体" w:cs="宋体"/>
          <w:lang w:eastAsia="zh-CN"/>
        </w:rPr>
      </w:pPr>
      <w:r>
        <w:rPr>
          <w:rFonts w:hint="eastAsia" w:ascii="宋体" w:hAnsi="宋体" w:eastAsia="宋体" w:cs="宋体"/>
        </w:rPr>
        <w:t>3.德育考核达到合格及以上</w:t>
      </w:r>
      <w:r>
        <w:rPr>
          <w:rFonts w:hint="eastAsia" w:ascii="宋体" w:hAnsi="宋体" w:eastAsia="宋体" w:cs="宋体"/>
          <w:lang w:eastAsia="zh-CN"/>
        </w:rPr>
        <w:t>；</w:t>
      </w:r>
    </w:p>
    <w:p w14:paraId="5E5E960B">
      <w:pPr>
        <w:pStyle w:val="38"/>
        <w:keepNext w:val="0"/>
        <w:keepLines w:val="0"/>
        <w:pageBreakBefore w:val="0"/>
        <w:widowControl w:val="0"/>
        <w:kinsoku/>
        <w:wordWrap/>
        <w:overflowPunct/>
        <w:topLinePunct w:val="0"/>
        <w:bidi w:val="0"/>
        <w:spacing w:line="440" w:lineRule="exact"/>
        <w:ind w:firstLine="480"/>
        <w:textAlignment w:val="auto"/>
        <w:rPr>
          <w:rFonts w:hint="eastAsia" w:ascii="宋体" w:hAnsi="宋体" w:eastAsia="宋体" w:cs="宋体"/>
          <w:lang w:val="en-US" w:eastAsia="zh-CN"/>
        </w:rPr>
      </w:pPr>
      <w:r>
        <w:rPr>
          <w:rFonts w:hint="eastAsia" w:ascii="宋体" w:hAnsi="宋体" w:eastAsia="宋体" w:cs="宋体"/>
          <w:lang w:val="en-US" w:eastAsia="zh-CN"/>
        </w:rPr>
        <w:t>4.每学期必须参加至少一项社团活动且考核合格以上；</w:t>
      </w:r>
    </w:p>
    <w:p w14:paraId="53B8767A">
      <w:pPr>
        <w:pStyle w:val="38"/>
        <w:keepNext w:val="0"/>
        <w:keepLines w:val="0"/>
        <w:pageBreakBefore w:val="0"/>
        <w:widowControl w:val="0"/>
        <w:kinsoku/>
        <w:wordWrap/>
        <w:overflowPunct/>
        <w:topLinePunct w:val="0"/>
        <w:bidi w:val="0"/>
        <w:spacing w:line="440" w:lineRule="exact"/>
        <w:ind w:firstLine="480"/>
        <w:textAlignment w:val="auto"/>
        <w:rPr>
          <w:rFonts w:hint="eastAsia" w:ascii="宋体" w:hAnsi="宋体" w:eastAsia="宋体" w:cs="宋体"/>
          <w:lang w:eastAsia="zh-CN"/>
        </w:rPr>
      </w:pPr>
      <w:r>
        <w:rPr>
          <w:rFonts w:hint="eastAsia" w:ascii="宋体" w:hAnsi="宋体" w:eastAsia="宋体" w:cs="宋体"/>
          <w:lang w:val="en-US" w:eastAsia="zh-CN"/>
        </w:rPr>
        <w:t>5</w:t>
      </w:r>
      <w:r>
        <w:rPr>
          <w:rFonts w:hint="eastAsia" w:ascii="宋体" w:hAnsi="宋体" w:eastAsia="宋体" w:cs="宋体"/>
        </w:rPr>
        <w:t>.认知实习</w:t>
      </w:r>
      <w:r>
        <w:rPr>
          <w:rFonts w:hint="eastAsia" w:ascii="宋体" w:hAnsi="宋体" w:eastAsia="宋体" w:cs="宋体"/>
          <w:lang w:val="en-US" w:eastAsia="zh-CN"/>
        </w:rPr>
        <w:t>和</w:t>
      </w:r>
      <w:r>
        <w:rPr>
          <w:rFonts w:hint="eastAsia" w:ascii="宋体" w:hAnsi="宋体" w:eastAsia="宋体" w:cs="宋体"/>
        </w:rPr>
        <w:t>岗位实习（跟岗实习、顶岗实习）</w:t>
      </w:r>
      <w:r>
        <w:rPr>
          <w:rFonts w:hint="eastAsia" w:ascii="宋体" w:hAnsi="宋体" w:eastAsia="宋体" w:cs="宋体"/>
          <w:lang w:val="en-US" w:eastAsia="zh-CN"/>
        </w:rPr>
        <w:t>考核</w:t>
      </w:r>
      <w:r>
        <w:rPr>
          <w:rFonts w:hint="eastAsia" w:ascii="宋体" w:hAnsi="宋体" w:eastAsia="宋体" w:cs="宋体"/>
        </w:rPr>
        <w:t>必须都达到合格及以上</w:t>
      </w:r>
      <w:r>
        <w:rPr>
          <w:rFonts w:hint="eastAsia" w:ascii="宋体" w:hAnsi="宋体" w:eastAsia="宋体" w:cs="宋体"/>
          <w:lang w:eastAsia="zh-CN"/>
        </w:rPr>
        <w:t>；</w:t>
      </w:r>
    </w:p>
    <w:p w14:paraId="6A3B04ED">
      <w:pPr>
        <w:pStyle w:val="38"/>
        <w:keepNext w:val="0"/>
        <w:keepLines w:val="0"/>
        <w:pageBreakBefore w:val="0"/>
        <w:widowControl w:val="0"/>
        <w:kinsoku/>
        <w:wordWrap/>
        <w:overflowPunct/>
        <w:topLinePunct w:val="0"/>
        <w:bidi w:val="0"/>
        <w:spacing w:line="440" w:lineRule="exact"/>
        <w:ind w:firstLine="480"/>
        <w:textAlignment w:val="auto"/>
        <w:rPr>
          <w:rFonts w:hint="eastAsia" w:ascii="宋体" w:hAnsi="宋体" w:eastAsia="宋体" w:cs="宋体"/>
          <w:b w:val="0"/>
          <w:bCs w:val="0"/>
          <w:kern w:val="0"/>
          <w:sz w:val="24"/>
        </w:rPr>
        <w:sectPr>
          <w:pgSz w:w="11906" w:h="16838"/>
          <w:pgMar w:top="1134" w:right="1134" w:bottom="1134" w:left="1247" w:header="851" w:footer="992" w:gutter="0"/>
          <w:pgNumType w:fmt="decimal"/>
          <w:cols w:space="720" w:num="1"/>
          <w:docGrid w:type="lines" w:linePitch="312" w:charSpace="0"/>
        </w:sectPr>
      </w:pPr>
      <w:r>
        <w:rPr>
          <w:rFonts w:hint="eastAsia" w:ascii="宋体" w:hAnsi="宋体" w:eastAsia="宋体" w:cs="宋体"/>
          <w:lang w:val="en-US" w:eastAsia="zh-CN"/>
        </w:rPr>
        <w:t>6</w:t>
      </w:r>
      <w:r>
        <w:rPr>
          <w:rFonts w:hint="eastAsia" w:ascii="宋体" w:hAnsi="宋体" w:eastAsia="宋体" w:cs="宋体"/>
        </w:rPr>
        <w:t>.至少</w:t>
      </w:r>
      <w:r>
        <w:rPr>
          <w:rFonts w:hint="eastAsia" w:ascii="宋体" w:hAnsi="宋体" w:eastAsia="宋体" w:cs="宋体"/>
          <w:lang w:val="en-US" w:eastAsia="zh-CN"/>
        </w:rPr>
        <w:t>取得</w:t>
      </w:r>
      <w:r>
        <w:rPr>
          <w:rFonts w:hint="eastAsia" w:ascii="宋体" w:hAnsi="宋体" w:eastAsia="宋体" w:cs="宋体"/>
        </w:rPr>
        <w:t>一项</w:t>
      </w:r>
      <w:r>
        <w:rPr>
          <w:rFonts w:hint="eastAsia" w:ascii="宋体" w:hAnsi="宋体" w:eastAsia="宋体" w:cs="宋体"/>
          <w:lang w:val="en-US" w:eastAsia="zh-CN"/>
        </w:rPr>
        <w:t>技能等级证书</w:t>
      </w:r>
      <w:bookmarkEnd w:id="76"/>
    </w:p>
    <w:p w14:paraId="001B3B48">
      <w:pPr>
        <w:pStyle w:val="2"/>
        <w:keepNext/>
        <w:keepLines/>
        <w:pageBreakBefore w:val="0"/>
        <w:widowControl w:val="0"/>
        <w:kinsoku/>
        <w:wordWrap/>
        <w:overflowPunct/>
        <w:topLinePunct w:val="0"/>
        <w:autoSpaceDE/>
        <w:autoSpaceDN/>
        <w:bidi w:val="0"/>
        <w:adjustRightInd/>
        <w:snapToGrid/>
        <w:spacing w:before="120" w:after="120" w:line="240" w:lineRule="auto"/>
        <w:textAlignment w:val="auto"/>
        <w:rPr>
          <w:rFonts w:hint="eastAsia" w:ascii="黑体" w:hAnsi="黑体" w:eastAsia="黑体" w:cs="黑体"/>
          <w:b w:val="0"/>
          <w:bCs/>
          <w:sz w:val="28"/>
          <w:szCs w:val="28"/>
          <w:lang w:val="zh-CN" w:eastAsia="zh-CN"/>
        </w:rPr>
      </w:pPr>
      <w:bookmarkStart w:id="77" w:name="_Toc534488411"/>
      <w:r>
        <w:rPr>
          <w:rFonts w:hint="eastAsia" w:ascii="黑体" w:hAnsi="黑体" w:eastAsia="黑体" w:cs="黑体"/>
          <w:b w:val="0"/>
          <w:bCs/>
          <w:sz w:val="28"/>
          <w:szCs w:val="28"/>
          <w:lang w:val="en-US" w:eastAsia="zh-CN"/>
        </w:rPr>
        <w:t>十、</w:t>
      </w:r>
      <w:r>
        <w:rPr>
          <w:rFonts w:hint="eastAsia" w:ascii="黑体" w:hAnsi="黑体" w:eastAsia="黑体" w:cs="黑体"/>
          <w:b w:val="0"/>
          <w:bCs/>
          <w:sz w:val="28"/>
          <w:szCs w:val="28"/>
          <w:lang w:val="zh-CN" w:eastAsia="zh-CN"/>
        </w:rPr>
        <w:t>附录</w:t>
      </w:r>
      <w:bookmarkEnd w:id="77"/>
    </w:p>
    <w:p w14:paraId="16135126">
      <w:pPr>
        <w:pStyle w:val="3"/>
        <w:bidi w:val="0"/>
        <w:jc w:val="left"/>
        <w:rPr>
          <w:rFonts w:hint="eastAsia"/>
          <w:sz w:val="24"/>
          <w:szCs w:val="24"/>
          <w:lang w:val="zh-CN" w:eastAsia="zh-CN"/>
        </w:rPr>
      </w:pPr>
      <w:bookmarkStart w:id="78" w:name="_Toc222628276"/>
      <w:r>
        <w:rPr>
          <w:rFonts w:hint="eastAsia"/>
          <w:sz w:val="24"/>
          <w:szCs w:val="24"/>
          <w:lang w:val="zh-CN" w:eastAsia="zh-CN"/>
        </w:rPr>
        <w:t>（</w:t>
      </w:r>
      <w:r>
        <w:rPr>
          <w:rFonts w:hint="eastAsia"/>
          <w:sz w:val="24"/>
          <w:szCs w:val="24"/>
          <w:lang w:val="en-US" w:eastAsia="zh-CN"/>
        </w:rPr>
        <w:t>一）</w:t>
      </w:r>
      <w:r>
        <w:rPr>
          <w:rFonts w:hint="eastAsia"/>
          <w:sz w:val="24"/>
          <w:szCs w:val="24"/>
          <w:lang w:val="zh-CN" w:eastAsia="zh-CN"/>
        </w:rPr>
        <w:t>人才培养方案审批表</w:t>
      </w:r>
      <w:bookmarkEnd w:id="78"/>
      <w:r>
        <w:rPr>
          <w:rFonts w:hint="eastAsia"/>
          <w:sz w:val="24"/>
          <w:szCs w:val="24"/>
          <w:lang w:val="zh-CN" w:eastAsia="zh-CN"/>
        </w:rPr>
        <w:drawing>
          <wp:inline distT="0" distB="0" distL="114300" distR="114300">
            <wp:extent cx="5138420" cy="7414260"/>
            <wp:effectExtent l="0" t="0" r="5080" b="15240"/>
            <wp:docPr id="3" name="图片 3" descr="信息表有公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表有公章1"/>
                    <pic:cNvPicPr>
                      <a:picLocks noChangeAspect="1"/>
                    </pic:cNvPicPr>
                  </pic:nvPicPr>
                  <pic:blipFill>
                    <a:blip r:embed="rId10"/>
                    <a:stretch>
                      <a:fillRect/>
                    </a:stretch>
                  </pic:blipFill>
                  <pic:spPr>
                    <a:xfrm>
                      <a:off x="0" y="0"/>
                      <a:ext cx="5138420" cy="7414260"/>
                    </a:xfrm>
                    <a:prstGeom prst="rect">
                      <a:avLst/>
                    </a:prstGeom>
                  </pic:spPr>
                </pic:pic>
              </a:graphicData>
            </a:graphic>
          </wp:inline>
        </w:drawing>
      </w:r>
      <w:bookmarkStart w:id="79" w:name="_Toc796921658"/>
    </w:p>
    <w:p w14:paraId="6DE9CB0E">
      <w:pPr>
        <w:pStyle w:val="3"/>
        <w:bidi w:val="0"/>
        <w:jc w:val="left"/>
        <w:rPr>
          <w:rFonts w:hint="eastAsia"/>
          <w:sz w:val="24"/>
          <w:szCs w:val="24"/>
          <w:lang w:val="zh-CN" w:eastAsia="zh-CN"/>
        </w:rPr>
      </w:pPr>
      <w:r>
        <w:rPr>
          <w:rFonts w:hint="eastAsia"/>
          <w:sz w:val="24"/>
          <w:szCs w:val="24"/>
          <w:lang w:val="zh-CN" w:eastAsia="zh-CN"/>
        </w:rPr>
        <w:t>（</w:t>
      </w:r>
      <w:r>
        <w:rPr>
          <w:rFonts w:hint="eastAsia"/>
          <w:sz w:val="24"/>
          <w:szCs w:val="24"/>
          <w:lang w:val="en-US" w:eastAsia="zh-CN"/>
        </w:rPr>
        <w:t>二）</w:t>
      </w:r>
      <w:r>
        <w:rPr>
          <w:rFonts w:hint="eastAsia"/>
          <w:sz w:val="24"/>
          <w:szCs w:val="24"/>
          <w:lang w:val="zh-CN" w:eastAsia="zh-CN"/>
        </w:rPr>
        <w:t>专家组论证意见</w:t>
      </w:r>
      <w:bookmarkEnd w:id="79"/>
      <w:r>
        <w:rPr>
          <w:rFonts w:hint="eastAsia"/>
          <w:sz w:val="24"/>
          <w:szCs w:val="24"/>
          <w:lang w:val="zh-CN" w:eastAsia="zh-CN"/>
        </w:rPr>
        <w:drawing>
          <wp:inline distT="0" distB="0" distL="114300" distR="114300">
            <wp:extent cx="5033645" cy="7313295"/>
            <wp:effectExtent l="0" t="0" r="14605" b="1905"/>
            <wp:docPr id="4" name="图片 4" descr="信息表有公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信息表有公章2"/>
                    <pic:cNvPicPr>
                      <a:picLocks noChangeAspect="1"/>
                    </pic:cNvPicPr>
                  </pic:nvPicPr>
                  <pic:blipFill>
                    <a:blip r:embed="rId11"/>
                    <a:stretch>
                      <a:fillRect/>
                    </a:stretch>
                  </pic:blipFill>
                  <pic:spPr>
                    <a:xfrm>
                      <a:off x="0" y="0"/>
                      <a:ext cx="5033645" cy="7313295"/>
                    </a:xfrm>
                    <a:prstGeom prst="rect">
                      <a:avLst/>
                    </a:prstGeom>
                  </pic:spPr>
                </pic:pic>
              </a:graphicData>
            </a:graphic>
          </wp:inline>
        </w:drawing>
      </w: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CA98B9-E3E4-4BF0-8DCD-110C9F7EE2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方正仿宋_GBK">
    <w:altName w:val="Arial Unicode MS"/>
    <w:panose1 w:val="02000000000000000000"/>
    <w:charset w:val="86"/>
    <w:family w:val="auto"/>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2" w:fontKey="{C20FBC7D-49AC-46B7-AEDD-5F5B554540DA}"/>
  </w:font>
  <w:font w:name="汉仪楷体简">
    <w:altName w:val="宋体"/>
    <w:panose1 w:val="02010600000101010101"/>
    <w:charset w:val="86"/>
    <w:family w:val="auto"/>
    <w:pitch w:val="default"/>
    <w:sig w:usb0="00000000" w:usb1="00000000" w:usb2="00000002"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4A6D0DDA-E806-41F8-8EBB-9CE74061706A}"/>
  </w:font>
  <w:font w:name="Tahoma">
    <w:panose1 w:val="020B0604030504040204"/>
    <w:charset w:val="00"/>
    <w:family w:val="swiss"/>
    <w:pitch w:val="default"/>
    <w:sig w:usb0="E1002EFF" w:usb1="C000605B" w:usb2="00000029" w:usb3="00000000" w:csb0="200101FF" w:csb1="20280000"/>
    <w:embedRegular r:id="rId4" w:fontKey="{B2486A0B-34F5-4781-869D-9E23A40E50C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C408C">
    <w:pPr>
      <w:pStyle w:val="10"/>
      <w:jc w:val="center"/>
    </w:pPr>
  </w:p>
  <w:p w14:paraId="61A2D2D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5A54E">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233DEF">
                          <w:pPr>
                            <w:pStyle w:val="10"/>
                          </w:pPr>
                          <w:r>
                            <w:fldChar w:fldCharType="begin"/>
                          </w:r>
                          <w:r>
                            <w:instrText xml:space="preserve"> PAGE  \* MERGEFORMAT </w:instrText>
                          </w:r>
                          <w:r>
                            <w:fldChar w:fldCharType="separate"/>
                          </w:r>
                          <w:r>
                            <w:t>125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5233DEF">
                    <w:pPr>
                      <w:pStyle w:val="10"/>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355555"/>
      <w:docPartObj>
        <w:docPartGallery w:val="autotext"/>
      </w:docPartObj>
    </w:sdtPr>
    <w:sdtContent>
      <w:p w14:paraId="16747AB4">
        <w:pPr>
          <w:pStyle w:val="10"/>
          <w:jc w:val="center"/>
        </w:pPr>
        <w:r>
          <w:fldChar w:fldCharType="begin"/>
        </w:r>
        <w:r>
          <w:instrText xml:space="preserve">PAGE   \* MERGEFORMAT</w:instrText>
        </w:r>
        <w:r>
          <w:fldChar w:fldCharType="separate"/>
        </w:r>
        <w:r>
          <w:rPr>
            <w:lang w:val="zh-CN"/>
          </w:rPr>
          <w:t>2</w:t>
        </w:r>
        <w:r>
          <w:fldChar w:fldCharType="end"/>
        </w:r>
      </w:p>
    </w:sdtContent>
  </w:sdt>
  <w:p w14:paraId="2519AB6B">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20CF">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FB5FF">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FEE71A"/>
    <w:multiLevelType w:val="singleLevel"/>
    <w:tmpl w:val="D7FEE71A"/>
    <w:lvl w:ilvl="0" w:tentative="0">
      <w:start w:val="2"/>
      <w:numFmt w:val="decimal"/>
      <w:lvlText w:val="%1."/>
      <w:lvlJc w:val="left"/>
      <w:pPr>
        <w:tabs>
          <w:tab w:val="left" w:pos="312"/>
        </w:tabs>
      </w:pPr>
    </w:lvl>
  </w:abstractNum>
  <w:abstractNum w:abstractNumId="1">
    <w:nsid w:val="230AFAD3"/>
    <w:multiLevelType w:val="singleLevel"/>
    <w:tmpl w:val="230AFAD3"/>
    <w:lvl w:ilvl="0" w:tentative="0">
      <w:start w:val="1"/>
      <w:numFmt w:val="decimal"/>
      <w:lvlText w:val="(%1)"/>
      <w:lvlJc w:val="left"/>
      <w:pPr>
        <w:ind w:left="425" w:hanging="425"/>
      </w:pPr>
      <w:rPr>
        <w:rFonts w:hint="default"/>
      </w:rPr>
    </w:lvl>
  </w:abstractNum>
  <w:abstractNum w:abstractNumId="2">
    <w:nsid w:val="32B03159"/>
    <w:multiLevelType w:val="singleLevel"/>
    <w:tmpl w:val="32B03159"/>
    <w:lvl w:ilvl="0" w:tentative="0">
      <w:start w:val="1"/>
      <w:numFmt w:val="decimal"/>
      <w:lvlText w:val="(%1)"/>
      <w:lvlJc w:val="left"/>
      <w:pPr>
        <w:ind w:left="425" w:hanging="425"/>
      </w:pPr>
      <w:rPr>
        <w:rFonts w:hint="default"/>
      </w:rPr>
    </w:lvl>
  </w:abstractNum>
  <w:abstractNum w:abstractNumId="3">
    <w:nsid w:val="6153AEF6"/>
    <w:multiLevelType w:val="singleLevel"/>
    <w:tmpl w:val="6153AEF6"/>
    <w:lvl w:ilvl="0" w:tentative="0">
      <w:start w:val="1"/>
      <w:numFmt w:val="decimal"/>
      <w:lvlText w:val="(%1)"/>
      <w:lvlJc w:val="left"/>
      <w:pPr>
        <w:ind w:left="425" w:hanging="425"/>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zYjcyMDI4YWY3Y2Q0MzJmMjU4MTgzMDBlMjRlYWEifQ=="/>
    <w:docVar w:name="KSO_WPS_MARK_KEY" w:val="a4949f19-3553-4286-adad-debae82df093"/>
  </w:docVars>
  <w:rsids>
    <w:rsidRoot w:val="00486E34"/>
    <w:rsid w:val="00000537"/>
    <w:rsid w:val="00000B8D"/>
    <w:rsid w:val="00000DFE"/>
    <w:rsid w:val="00001561"/>
    <w:rsid w:val="00001650"/>
    <w:rsid w:val="0000343B"/>
    <w:rsid w:val="000049D6"/>
    <w:rsid w:val="000064D8"/>
    <w:rsid w:val="000145BD"/>
    <w:rsid w:val="00017440"/>
    <w:rsid w:val="000239D0"/>
    <w:rsid w:val="0002496C"/>
    <w:rsid w:val="00030A47"/>
    <w:rsid w:val="0003152D"/>
    <w:rsid w:val="00034364"/>
    <w:rsid w:val="000413CE"/>
    <w:rsid w:val="000445BE"/>
    <w:rsid w:val="00045051"/>
    <w:rsid w:val="00046BE0"/>
    <w:rsid w:val="00052335"/>
    <w:rsid w:val="000651A4"/>
    <w:rsid w:val="000731BC"/>
    <w:rsid w:val="00073394"/>
    <w:rsid w:val="00074E61"/>
    <w:rsid w:val="00076B16"/>
    <w:rsid w:val="00080914"/>
    <w:rsid w:val="000831DA"/>
    <w:rsid w:val="00084A12"/>
    <w:rsid w:val="00090061"/>
    <w:rsid w:val="00090CE6"/>
    <w:rsid w:val="0009391D"/>
    <w:rsid w:val="000949DE"/>
    <w:rsid w:val="000A086F"/>
    <w:rsid w:val="000A1152"/>
    <w:rsid w:val="000A2884"/>
    <w:rsid w:val="000A339B"/>
    <w:rsid w:val="000A580B"/>
    <w:rsid w:val="000A6203"/>
    <w:rsid w:val="000B0107"/>
    <w:rsid w:val="000B17BB"/>
    <w:rsid w:val="000C45D9"/>
    <w:rsid w:val="000D4800"/>
    <w:rsid w:val="000E404C"/>
    <w:rsid w:val="000E43FC"/>
    <w:rsid w:val="000E671C"/>
    <w:rsid w:val="000E7DD8"/>
    <w:rsid w:val="000F0560"/>
    <w:rsid w:val="000F3699"/>
    <w:rsid w:val="000F4B7B"/>
    <w:rsid w:val="000F5F89"/>
    <w:rsid w:val="00102C1C"/>
    <w:rsid w:val="00106A6C"/>
    <w:rsid w:val="00111003"/>
    <w:rsid w:val="001148D2"/>
    <w:rsid w:val="001149CE"/>
    <w:rsid w:val="001229B7"/>
    <w:rsid w:val="001232B9"/>
    <w:rsid w:val="00127F23"/>
    <w:rsid w:val="001325E2"/>
    <w:rsid w:val="00132D12"/>
    <w:rsid w:val="001375E4"/>
    <w:rsid w:val="00141121"/>
    <w:rsid w:val="001446AC"/>
    <w:rsid w:val="00145FE9"/>
    <w:rsid w:val="0014764C"/>
    <w:rsid w:val="00154F6C"/>
    <w:rsid w:val="00156938"/>
    <w:rsid w:val="001637EF"/>
    <w:rsid w:val="001667E4"/>
    <w:rsid w:val="00175BFB"/>
    <w:rsid w:val="00175E00"/>
    <w:rsid w:val="00175EC5"/>
    <w:rsid w:val="0017740F"/>
    <w:rsid w:val="00181F3A"/>
    <w:rsid w:val="00182A5D"/>
    <w:rsid w:val="00191921"/>
    <w:rsid w:val="001930B7"/>
    <w:rsid w:val="00195304"/>
    <w:rsid w:val="00196055"/>
    <w:rsid w:val="001973E9"/>
    <w:rsid w:val="00197F4C"/>
    <w:rsid w:val="001A3100"/>
    <w:rsid w:val="001C5100"/>
    <w:rsid w:val="001C7744"/>
    <w:rsid w:val="001C7DEC"/>
    <w:rsid w:val="001D048A"/>
    <w:rsid w:val="001E3749"/>
    <w:rsid w:val="001E6507"/>
    <w:rsid w:val="001F1620"/>
    <w:rsid w:val="001F2004"/>
    <w:rsid w:val="001F3081"/>
    <w:rsid w:val="001F34C6"/>
    <w:rsid w:val="001F3C8F"/>
    <w:rsid w:val="001F3DD7"/>
    <w:rsid w:val="001F403F"/>
    <w:rsid w:val="001F495B"/>
    <w:rsid w:val="00202D03"/>
    <w:rsid w:val="00205AC9"/>
    <w:rsid w:val="00207BFC"/>
    <w:rsid w:val="00207D96"/>
    <w:rsid w:val="0021188B"/>
    <w:rsid w:val="002129C2"/>
    <w:rsid w:val="0021704F"/>
    <w:rsid w:val="002215FA"/>
    <w:rsid w:val="00222885"/>
    <w:rsid w:val="002237BC"/>
    <w:rsid w:val="002242A4"/>
    <w:rsid w:val="00225CAE"/>
    <w:rsid w:val="00225D1B"/>
    <w:rsid w:val="00231BF3"/>
    <w:rsid w:val="00231ECD"/>
    <w:rsid w:val="002333CD"/>
    <w:rsid w:val="00235EB6"/>
    <w:rsid w:val="00236842"/>
    <w:rsid w:val="00237DDE"/>
    <w:rsid w:val="00247755"/>
    <w:rsid w:val="00250C11"/>
    <w:rsid w:val="0025263B"/>
    <w:rsid w:val="00255AA4"/>
    <w:rsid w:val="00256680"/>
    <w:rsid w:val="00256833"/>
    <w:rsid w:val="00267237"/>
    <w:rsid w:val="00270D15"/>
    <w:rsid w:val="0027293D"/>
    <w:rsid w:val="0027390B"/>
    <w:rsid w:val="002816E2"/>
    <w:rsid w:val="00284233"/>
    <w:rsid w:val="0028554E"/>
    <w:rsid w:val="00286F41"/>
    <w:rsid w:val="00287163"/>
    <w:rsid w:val="0028769C"/>
    <w:rsid w:val="002A1522"/>
    <w:rsid w:val="002A4B12"/>
    <w:rsid w:val="002A4F60"/>
    <w:rsid w:val="002A74FA"/>
    <w:rsid w:val="002A7D88"/>
    <w:rsid w:val="002B0442"/>
    <w:rsid w:val="002B10F1"/>
    <w:rsid w:val="002B736F"/>
    <w:rsid w:val="002C497F"/>
    <w:rsid w:val="002C561B"/>
    <w:rsid w:val="002D2D4B"/>
    <w:rsid w:val="002D2DF8"/>
    <w:rsid w:val="002D6C5E"/>
    <w:rsid w:val="002E17F9"/>
    <w:rsid w:val="002E3111"/>
    <w:rsid w:val="002F348A"/>
    <w:rsid w:val="00307706"/>
    <w:rsid w:val="003150AE"/>
    <w:rsid w:val="00320ECE"/>
    <w:rsid w:val="00322D50"/>
    <w:rsid w:val="0032427A"/>
    <w:rsid w:val="00330B87"/>
    <w:rsid w:val="003322B8"/>
    <w:rsid w:val="00333902"/>
    <w:rsid w:val="003412A5"/>
    <w:rsid w:val="00341C37"/>
    <w:rsid w:val="00347650"/>
    <w:rsid w:val="003530CA"/>
    <w:rsid w:val="003571CE"/>
    <w:rsid w:val="00357512"/>
    <w:rsid w:val="00360336"/>
    <w:rsid w:val="00360F68"/>
    <w:rsid w:val="00362421"/>
    <w:rsid w:val="0036628A"/>
    <w:rsid w:val="00377AD8"/>
    <w:rsid w:val="00382E07"/>
    <w:rsid w:val="00383FAE"/>
    <w:rsid w:val="0038436A"/>
    <w:rsid w:val="00386816"/>
    <w:rsid w:val="00387695"/>
    <w:rsid w:val="00393648"/>
    <w:rsid w:val="00394D4A"/>
    <w:rsid w:val="0039523F"/>
    <w:rsid w:val="00396327"/>
    <w:rsid w:val="003A2E1D"/>
    <w:rsid w:val="003A6B8D"/>
    <w:rsid w:val="003A6F47"/>
    <w:rsid w:val="003B006E"/>
    <w:rsid w:val="003B0D32"/>
    <w:rsid w:val="003B35E0"/>
    <w:rsid w:val="003B536E"/>
    <w:rsid w:val="003B7E27"/>
    <w:rsid w:val="003C137C"/>
    <w:rsid w:val="003C6B87"/>
    <w:rsid w:val="003D24A1"/>
    <w:rsid w:val="003D4A95"/>
    <w:rsid w:val="003E29E6"/>
    <w:rsid w:val="003F0928"/>
    <w:rsid w:val="003F24DE"/>
    <w:rsid w:val="003F3D90"/>
    <w:rsid w:val="003F4A60"/>
    <w:rsid w:val="003F4F70"/>
    <w:rsid w:val="003F6E4A"/>
    <w:rsid w:val="00401E30"/>
    <w:rsid w:val="00403B8B"/>
    <w:rsid w:val="00406376"/>
    <w:rsid w:val="004126A8"/>
    <w:rsid w:val="0041496D"/>
    <w:rsid w:val="00417809"/>
    <w:rsid w:val="00420A93"/>
    <w:rsid w:val="00420F11"/>
    <w:rsid w:val="004213A4"/>
    <w:rsid w:val="004242C6"/>
    <w:rsid w:val="00426902"/>
    <w:rsid w:val="00434A29"/>
    <w:rsid w:val="00441412"/>
    <w:rsid w:val="00442E31"/>
    <w:rsid w:val="00450723"/>
    <w:rsid w:val="00454793"/>
    <w:rsid w:val="00454E5A"/>
    <w:rsid w:val="00464EB1"/>
    <w:rsid w:val="00467346"/>
    <w:rsid w:val="00467909"/>
    <w:rsid w:val="00471F71"/>
    <w:rsid w:val="00472B7D"/>
    <w:rsid w:val="00472FCA"/>
    <w:rsid w:val="00473AF0"/>
    <w:rsid w:val="00474E8A"/>
    <w:rsid w:val="00475AF3"/>
    <w:rsid w:val="00475D34"/>
    <w:rsid w:val="00476F52"/>
    <w:rsid w:val="00481CBA"/>
    <w:rsid w:val="0048296B"/>
    <w:rsid w:val="004836A4"/>
    <w:rsid w:val="00486694"/>
    <w:rsid w:val="00486989"/>
    <w:rsid w:val="00486E34"/>
    <w:rsid w:val="004871DB"/>
    <w:rsid w:val="004872EF"/>
    <w:rsid w:val="00491DC3"/>
    <w:rsid w:val="0049288A"/>
    <w:rsid w:val="00493F6B"/>
    <w:rsid w:val="00494C29"/>
    <w:rsid w:val="0049539D"/>
    <w:rsid w:val="004A007D"/>
    <w:rsid w:val="004A0657"/>
    <w:rsid w:val="004A3913"/>
    <w:rsid w:val="004A3D5D"/>
    <w:rsid w:val="004A5F75"/>
    <w:rsid w:val="004A6ACB"/>
    <w:rsid w:val="004A702A"/>
    <w:rsid w:val="004B0BC2"/>
    <w:rsid w:val="004B3F21"/>
    <w:rsid w:val="004B577F"/>
    <w:rsid w:val="004C0946"/>
    <w:rsid w:val="004C17F1"/>
    <w:rsid w:val="004D0283"/>
    <w:rsid w:val="004D03FB"/>
    <w:rsid w:val="004D4F90"/>
    <w:rsid w:val="004E1140"/>
    <w:rsid w:val="004F2802"/>
    <w:rsid w:val="005059CA"/>
    <w:rsid w:val="005105AB"/>
    <w:rsid w:val="005306E6"/>
    <w:rsid w:val="00531856"/>
    <w:rsid w:val="00533148"/>
    <w:rsid w:val="00535764"/>
    <w:rsid w:val="00535871"/>
    <w:rsid w:val="00537E77"/>
    <w:rsid w:val="0056552C"/>
    <w:rsid w:val="005701AF"/>
    <w:rsid w:val="005717F3"/>
    <w:rsid w:val="00574ED3"/>
    <w:rsid w:val="005854A5"/>
    <w:rsid w:val="0059284C"/>
    <w:rsid w:val="0059734D"/>
    <w:rsid w:val="00597A45"/>
    <w:rsid w:val="00597FC8"/>
    <w:rsid w:val="005A0B83"/>
    <w:rsid w:val="005A1F71"/>
    <w:rsid w:val="005A2396"/>
    <w:rsid w:val="005A33EA"/>
    <w:rsid w:val="005A5B67"/>
    <w:rsid w:val="005B1496"/>
    <w:rsid w:val="005B182A"/>
    <w:rsid w:val="005B1D7C"/>
    <w:rsid w:val="005B23CF"/>
    <w:rsid w:val="005B4C8D"/>
    <w:rsid w:val="005B6358"/>
    <w:rsid w:val="005B7DDC"/>
    <w:rsid w:val="005C13C5"/>
    <w:rsid w:val="005C3380"/>
    <w:rsid w:val="005C440C"/>
    <w:rsid w:val="005E07E7"/>
    <w:rsid w:val="005E46B4"/>
    <w:rsid w:val="005F26A4"/>
    <w:rsid w:val="005F28BC"/>
    <w:rsid w:val="005F3313"/>
    <w:rsid w:val="005F58C8"/>
    <w:rsid w:val="005F6442"/>
    <w:rsid w:val="005F7A61"/>
    <w:rsid w:val="00600474"/>
    <w:rsid w:val="006032AA"/>
    <w:rsid w:val="006043D8"/>
    <w:rsid w:val="00607960"/>
    <w:rsid w:val="00607C73"/>
    <w:rsid w:val="0061335A"/>
    <w:rsid w:val="00613ECE"/>
    <w:rsid w:val="00614EA1"/>
    <w:rsid w:val="00622FD3"/>
    <w:rsid w:val="00623F61"/>
    <w:rsid w:val="0062407C"/>
    <w:rsid w:val="00625BB1"/>
    <w:rsid w:val="006266CB"/>
    <w:rsid w:val="006307AB"/>
    <w:rsid w:val="0063164C"/>
    <w:rsid w:val="00633357"/>
    <w:rsid w:val="00637C49"/>
    <w:rsid w:val="0064683F"/>
    <w:rsid w:val="0065211C"/>
    <w:rsid w:val="0065266C"/>
    <w:rsid w:val="00653274"/>
    <w:rsid w:val="0066133E"/>
    <w:rsid w:val="00664B64"/>
    <w:rsid w:val="00664DCC"/>
    <w:rsid w:val="00665397"/>
    <w:rsid w:val="00665532"/>
    <w:rsid w:val="00666AB2"/>
    <w:rsid w:val="00667019"/>
    <w:rsid w:val="0067700B"/>
    <w:rsid w:val="00677570"/>
    <w:rsid w:val="0068459D"/>
    <w:rsid w:val="0068515C"/>
    <w:rsid w:val="0068655B"/>
    <w:rsid w:val="00686931"/>
    <w:rsid w:val="006943F1"/>
    <w:rsid w:val="00697487"/>
    <w:rsid w:val="006A1C02"/>
    <w:rsid w:val="006A2FF2"/>
    <w:rsid w:val="006A3E20"/>
    <w:rsid w:val="006A7CD0"/>
    <w:rsid w:val="006B0101"/>
    <w:rsid w:val="006B081F"/>
    <w:rsid w:val="006B3CEC"/>
    <w:rsid w:val="006B4925"/>
    <w:rsid w:val="006B59CA"/>
    <w:rsid w:val="006B737B"/>
    <w:rsid w:val="006C0793"/>
    <w:rsid w:val="006C3E6C"/>
    <w:rsid w:val="006C40DC"/>
    <w:rsid w:val="006C5856"/>
    <w:rsid w:val="006C68FE"/>
    <w:rsid w:val="006C6D1C"/>
    <w:rsid w:val="006D1217"/>
    <w:rsid w:val="006D146F"/>
    <w:rsid w:val="006D1478"/>
    <w:rsid w:val="006D6410"/>
    <w:rsid w:val="006D7EAB"/>
    <w:rsid w:val="006E2D98"/>
    <w:rsid w:val="006E40E2"/>
    <w:rsid w:val="006E676F"/>
    <w:rsid w:val="006F2E59"/>
    <w:rsid w:val="006F4A83"/>
    <w:rsid w:val="006F6F06"/>
    <w:rsid w:val="00702189"/>
    <w:rsid w:val="007032EB"/>
    <w:rsid w:val="007039E5"/>
    <w:rsid w:val="00705476"/>
    <w:rsid w:val="00706EA4"/>
    <w:rsid w:val="007073F7"/>
    <w:rsid w:val="00712021"/>
    <w:rsid w:val="00713BC8"/>
    <w:rsid w:val="00713D1B"/>
    <w:rsid w:val="00715926"/>
    <w:rsid w:val="007162A2"/>
    <w:rsid w:val="00723C23"/>
    <w:rsid w:val="007261BB"/>
    <w:rsid w:val="007269A9"/>
    <w:rsid w:val="00727A64"/>
    <w:rsid w:val="007315EE"/>
    <w:rsid w:val="00733710"/>
    <w:rsid w:val="0073408E"/>
    <w:rsid w:val="007366C6"/>
    <w:rsid w:val="007375E3"/>
    <w:rsid w:val="00744B87"/>
    <w:rsid w:val="00745AD3"/>
    <w:rsid w:val="007500FF"/>
    <w:rsid w:val="00755504"/>
    <w:rsid w:val="00757363"/>
    <w:rsid w:val="007623D3"/>
    <w:rsid w:val="00766BE2"/>
    <w:rsid w:val="007679D4"/>
    <w:rsid w:val="0077030F"/>
    <w:rsid w:val="0077138F"/>
    <w:rsid w:val="0077312A"/>
    <w:rsid w:val="00774087"/>
    <w:rsid w:val="00774361"/>
    <w:rsid w:val="00780CC0"/>
    <w:rsid w:val="00781F83"/>
    <w:rsid w:val="00784233"/>
    <w:rsid w:val="00785B02"/>
    <w:rsid w:val="00785EC4"/>
    <w:rsid w:val="00787FB6"/>
    <w:rsid w:val="0079163C"/>
    <w:rsid w:val="007939C9"/>
    <w:rsid w:val="007A1B38"/>
    <w:rsid w:val="007A43C1"/>
    <w:rsid w:val="007B071C"/>
    <w:rsid w:val="007B2F5B"/>
    <w:rsid w:val="007C5C26"/>
    <w:rsid w:val="007C6834"/>
    <w:rsid w:val="007D28B4"/>
    <w:rsid w:val="007E5F40"/>
    <w:rsid w:val="007F1B04"/>
    <w:rsid w:val="007F65A4"/>
    <w:rsid w:val="00800E5C"/>
    <w:rsid w:val="008015AE"/>
    <w:rsid w:val="008018FA"/>
    <w:rsid w:val="008049C0"/>
    <w:rsid w:val="00806EF9"/>
    <w:rsid w:val="00810B7C"/>
    <w:rsid w:val="00820969"/>
    <w:rsid w:val="00831943"/>
    <w:rsid w:val="00833BD5"/>
    <w:rsid w:val="008355B0"/>
    <w:rsid w:val="00840761"/>
    <w:rsid w:val="008474CF"/>
    <w:rsid w:val="0085255B"/>
    <w:rsid w:val="008545BB"/>
    <w:rsid w:val="00854C3E"/>
    <w:rsid w:val="00855C1A"/>
    <w:rsid w:val="008577FD"/>
    <w:rsid w:val="00863759"/>
    <w:rsid w:val="008643A7"/>
    <w:rsid w:val="0086774B"/>
    <w:rsid w:val="00870305"/>
    <w:rsid w:val="00872CC9"/>
    <w:rsid w:val="0088189D"/>
    <w:rsid w:val="00883225"/>
    <w:rsid w:val="0088443D"/>
    <w:rsid w:val="00885112"/>
    <w:rsid w:val="00886434"/>
    <w:rsid w:val="008A563E"/>
    <w:rsid w:val="008B22F9"/>
    <w:rsid w:val="008B3666"/>
    <w:rsid w:val="008B401C"/>
    <w:rsid w:val="008B51F6"/>
    <w:rsid w:val="008B55DE"/>
    <w:rsid w:val="008B56A9"/>
    <w:rsid w:val="008B77C4"/>
    <w:rsid w:val="008C0AC8"/>
    <w:rsid w:val="008C206C"/>
    <w:rsid w:val="008C375E"/>
    <w:rsid w:val="008C6618"/>
    <w:rsid w:val="008D3660"/>
    <w:rsid w:val="008D6173"/>
    <w:rsid w:val="008E067E"/>
    <w:rsid w:val="008E1C9C"/>
    <w:rsid w:val="008E2E4F"/>
    <w:rsid w:val="008E62BA"/>
    <w:rsid w:val="008F3EEE"/>
    <w:rsid w:val="00904A42"/>
    <w:rsid w:val="009071F8"/>
    <w:rsid w:val="009110BC"/>
    <w:rsid w:val="009132AE"/>
    <w:rsid w:val="00913F64"/>
    <w:rsid w:val="009141C4"/>
    <w:rsid w:val="0091507F"/>
    <w:rsid w:val="00915BA5"/>
    <w:rsid w:val="009235F3"/>
    <w:rsid w:val="00923C3A"/>
    <w:rsid w:val="00930588"/>
    <w:rsid w:val="009319BA"/>
    <w:rsid w:val="00931DDF"/>
    <w:rsid w:val="009343C6"/>
    <w:rsid w:val="009376CE"/>
    <w:rsid w:val="00937CA0"/>
    <w:rsid w:val="00937D9A"/>
    <w:rsid w:val="00940641"/>
    <w:rsid w:val="00944739"/>
    <w:rsid w:val="00954ABD"/>
    <w:rsid w:val="00956131"/>
    <w:rsid w:val="009600A2"/>
    <w:rsid w:val="00964A19"/>
    <w:rsid w:val="009663DF"/>
    <w:rsid w:val="00966DFB"/>
    <w:rsid w:val="00970FA5"/>
    <w:rsid w:val="009740E1"/>
    <w:rsid w:val="0097452A"/>
    <w:rsid w:val="0097626C"/>
    <w:rsid w:val="0097677C"/>
    <w:rsid w:val="009775E1"/>
    <w:rsid w:val="00977901"/>
    <w:rsid w:val="00981A88"/>
    <w:rsid w:val="0098254C"/>
    <w:rsid w:val="009841FF"/>
    <w:rsid w:val="0098565C"/>
    <w:rsid w:val="0098740C"/>
    <w:rsid w:val="00993C5B"/>
    <w:rsid w:val="00993EB0"/>
    <w:rsid w:val="009964BB"/>
    <w:rsid w:val="00997E98"/>
    <w:rsid w:val="009A0345"/>
    <w:rsid w:val="009A0A64"/>
    <w:rsid w:val="009A1978"/>
    <w:rsid w:val="009A7E17"/>
    <w:rsid w:val="009B3AEB"/>
    <w:rsid w:val="009B41FB"/>
    <w:rsid w:val="009C2A7B"/>
    <w:rsid w:val="009C2F64"/>
    <w:rsid w:val="009C56EB"/>
    <w:rsid w:val="009C5793"/>
    <w:rsid w:val="009D7AC0"/>
    <w:rsid w:val="009E484E"/>
    <w:rsid w:val="009E485F"/>
    <w:rsid w:val="009E4A38"/>
    <w:rsid w:val="009F0830"/>
    <w:rsid w:val="009F478B"/>
    <w:rsid w:val="009F6167"/>
    <w:rsid w:val="00A02A98"/>
    <w:rsid w:val="00A05E39"/>
    <w:rsid w:val="00A1194E"/>
    <w:rsid w:val="00A1286D"/>
    <w:rsid w:val="00A164BB"/>
    <w:rsid w:val="00A16A50"/>
    <w:rsid w:val="00A17088"/>
    <w:rsid w:val="00A20C9A"/>
    <w:rsid w:val="00A233C7"/>
    <w:rsid w:val="00A2720E"/>
    <w:rsid w:val="00A27252"/>
    <w:rsid w:val="00A272CE"/>
    <w:rsid w:val="00A35347"/>
    <w:rsid w:val="00A4007B"/>
    <w:rsid w:val="00A405E0"/>
    <w:rsid w:val="00A4379C"/>
    <w:rsid w:val="00A44123"/>
    <w:rsid w:val="00A55859"/>
    <w:rsid w:val="00A67159"/>
    <w:rsid w:val="00A7209E"/>
    <w:rsid w:val="00A73C96"/>
    <w:rsid w:val="00A741B1"/>
    <w:rsid w:val="00A769A9"/>
    <w:rsid w:val="00A802C9"/>
    <w:rsid w:val="00A85157"/>
    <w:rsid w:val="00A91DF6"/>
    <w:rsid w:val="00A9231A"/>
    <w:rsid w:val="00A9481E"/>
    <w:rsid w:val="00AA0E0E"/>
    <w:rsid w:val="00AA5FC6"/>
    <w:rsid w:val="00AA7C90"/>
    <w:rsid w:val="00AB4901"/>
    <w:rsid w:val="00AC2EA8"/>
    <w:rsid w:val="00AC48AF"/>
    <w:rsid w:val="00AC7170"/>
    <w:rsid w:val="00AD092D"/>
    <w:rsid w:val="00AD6904"/>
    <w:rsid w:val="00AE5588"/>
    <w:rsid w:val="00AF4D57"/>
    <w:rsid w:val="00B06C9D"/>
    <w:rsid w:val="00B109FC"/>
    <w:rsid w:val="00B13C1A"/>
    <w:rsid w:val="00B1614F"/>
    <w:rsid w:val="00B30221"/>
    <w:rsid w:val="00B3038B"/>
    <w:rsid w:val="00B37B23"/>
    <w:rsid w:val="00B41BAE"/>
    <w:rsid w:val="00B4232F"/>
    <w:rsid w:val="00B50771"/>
    <w:rsid w:val="00B5389E"/>
    <w:rsid w:val="00B57C84"/>
    <w:rsid w:val="00B61F65"/>
    <w:rsid w:val="00B627EF"/>
    <w:rsid w:val="00B63F3B"/>
    <w:rsid w:val="00B64951"/>
    <w:rsid w:val="00B65C21"/>
    <w:rsid w:val="00B70DD5"/>
    <w:rsid w:val="00B90362"/>
    <w:rsid w:val="00B9149B"/>
    <w:rsid w:val="00BA018E"/>
    <w:rsid w:val="00BA12A1"/>
    <w:rsid w:val="00BA29D2"/>
    <w:rsid w:val="00BA2B58"/>
    <w:rsid w:val="00BA72EE"/>
    <w:rsid w:val="00BB1FB8"/>
    <w:rsid w:val="00BB3E60"/>
    <w:rsid w:val="00BB6012"/>
    <w:rsid w:val="00BB7071"/>
    <w:rsid w:val="00BC415B"/>
    <w:rsid w:val="00BC5380"/>
    <w:rsid w:val="00BC6B22"/>
    <w:rsid w:val="00BD26F0"/>
    <w:rsid w:val="00BD3B24"/>
    <w:rsid w:val="00BD5E8A"/>
    <w:rsid w:val="00BD66CD"/>
    <w:rsid w:val="00BE14D1"/>
    <w:rsid w:val="00BE1632"/>
    <w:rsid w:val="00BF3616"/>
    <w:rsid w:val="00C05FB6"/>
    <w:rsid w:val="00C10E22"/>
    <w:rsid w:val="00C14513"/>
    <w:rsid w:val="00C14A51"/>
    <w:rsid w:val="00C24F18"/>
    <w:rsid w:val="00C25C33"/>
    <w:rsid w:val="00C26A21"/>
    <w:rsid w:val="00C336DB"/>
    <w:rsid w:val="00C429DD"/>
    <w:rsid w:val="00C50B31"/>
    <w:rsid w:val="00C50CE5"/>
    <w:rsid w:val="00C514A4"/>
    <w:rsid w:val="00C55271"/>
    <w:rsid w:val="00C56D0F"/>
    <w:rsid w:val="00C57572"/>
    <w:rsid w:val="00C604AA"/>
    <w:rsid w:val="00C61C52"/>
    <w:rsid w:val="00C64F31"/>
    <w:rsid w:val="00C65D89"/>
    <w:rsid w:val="00C67697"/>
    <w:rsid w:val="00C70CCF"/>
    <w:rsid w:val="00C71C2A"/>
    <w:rsid w:val="00C74618"/>
    <w:rsid w:val="00C8194C"/>
    <w:rsid w:val="00C81A37"/>
    <w:rsid w:val="00C87E33"/>
    <w:rsid w:val="00C9138E"/>
    <w:rsid w:val="00C923A5"/>
    <w:rsid w:val="00C92EC3"/>
    <w:rsid w:val="00C93A9F"/>
    <w:rsid w:val="00C93F83"/>
    <w:rsid w:val="00C9723C"/>
    <w:rsid w:val="00CA1AA2"/>
    <w:rsid w:val="00CA1E44"/>
    <w:rsid w:val="00CA63D8"/>
    <w:rsid w:val="00CB1A5E"/>
    <w:rsid w:val="00CB279B"/>
    <w:rsid w:val="00CB29CD"/>
    <w:rsid w:val="00CB72E0"/>
    <w:rsid w:val="00CC22F3"/>
    <w:rsid w:val="00CC7FA9"/>
    <w:rsid w:val="00CE045D"/>
    <w:rsid w:val="00CE21E4"/>
    <w:rsid w:val="00CE62A0"/>
    <w:rsid w:val="00CF1784"/>
    <w:rsid w:val="00CF2930"/>
    <w:rsid w:val="00CF30FD"/>
    <w:rsid w:val="00CF49B9"/>
    <w:rsid w:val="00CF5D90"/>
    <w:rsid w:val="00D00C64"/>
    <w:rsid w:val="00D11484"/>
    <w:rsid w:val="00D1249B"/>
    <w:rsid w:val="00D13675"/>
    <w:rsid w:val="00D220E7"/>
    <w:rsid w:val="00D2243A"/>
    <w:rsid w:val="00D226DC"/>
    <w:rsid w:val="00D23C40"/>
    <w:rsid w:val="00D25498"/>
    <w:rsid w:val="00D25B8B"/>
    <w:rsid w:val="00D34A9F"/>
    <w:rsid w:val="00D35971"/>
    <w:rsid w:val="00D40AF6"/>
    <w:rsid w:val="00D41757"/>
    <w:rsid w:val="00D41FED"/>
    <w:rsid w:val="00D43E5C"/>
    <w:rsid w:val="00D46FCC"/>
    <w:rsid w:val="00D52104"/>
    <w:rsid w:val="00D52C4B"/>
    <w:rsid w:val="00D532C5"/>
    <w:rsid w:val="00D56EAB"/>
    <w:rsid w:val="00D638CC"/>
    <w:rsid w:val="00D65C49"/>
    <w:rsid w:val="00D70AD8"/>
    <w:rsid w:val="00D71216"/>
    <w:rsid w:val="00D7162B"/>
    <w:rsid w:val="00D73A7A"/>
    <w:rsid w:val="00D75F25"/>
    <w:rsid w:val="00D81FB2"/>
    <w:rsid w:val="00D824E3"/>
    <w:rsid w:val="00D840AA"/>
    <w:rsid w:val="00D844AA"/>
    <w:rsid w:val="00D87A71"/>
    <w:rsid w:val="00DA0D7F"/>
    <w:rsid w:val="00DB0876"/>
    <w:rsid w:val="00DB1E88"/>
    <w:rsid w:val="00DB657B"/>
    <w:rsid w:val="00DB6ECA"/>
    <w:rsid w:val="00DC2EF3"/>
    <w:rsid w:val="00DC4ADD"/>
    <w:rsid w:val="00DC7EA9"/>
    <w:rsid w:val="00DD0066"/>
    <w:rsid w:val="00DD2110"/>
    <w:rsid w:val="00DD31D4"/>
    <w:rsid w:val="00DD3D05"/>
    <w:rsid w:val="00DD5B0B"/>
    <w:rsid w:val="00DE1D1D"/>
    <w:rsid w:val="00DE3BBE"/>
    <w:rsid w:val="00DF0175"/>
    <w:rsid w:val="00DF3540"/>
    <w:rsid w:val="00DF520E"/>
    <w:rsid w:val="00E1069E"/>
    <w:rsid w:val="00E15205"/>
    <w:rsid w:val="00E20298"/>
    <w:rsid w:val="00E264E6"/>
    <w:rsid w:val="00E26E51"/>
    <w:rsid w:val="00E30944"/>
    <w:rsid w:val="00E35146"/>
    <w:rsid w:val="00E35832"/>
    <w:rsid w:val="00E35AD2"/>
    <w:rsid w:val="00E35F5A"/>
    <w:rsid w:val="00E36E60"/>
    <w:rsid w:val="00E37C51"/>
    <w:rsid w:val="00E41827"/>
    <w:rsid w:val="00E42623"/>
    <w:rsid w:val="00E43813"/>
    <w:rsid w:val="00E5040A"/>
    <w:rsid w:val="00E67148"/>
    <w:rsid w:val="00E713CE"/>
    <w:rsid w:val="00E80B2A"/>
    <w:rsid w:val="00E85339"/>
    <w:rsid w:val="00E859F7"/>
    <w:rsid w:val="00E903A3"/>
    <w:rsid w:val="00E9086B"/>
    <w:rsid w:val="00E92A44"/>
    <w:rsid w:val="00E9596C"/>
    <w:rsid w:val="00E95A1D"/>
    <w:rsid w:val="00E95A36"/>
    <w:rsid w:val="00E966E8"/>
    <w:rsid w:val="00EA5387"/>
    <w:rsid w:val="00EA67D6"/>
    <w:rsid w:val="00EA72B5"/>
    <w:rsid w:val="00EB52E8"/>
    <w:rsid w:val="00EB64E0"/>
    <w:rsid w:val="00EB6A75"/>
    <w:rsid w:val="00EC0D66"/>
    <w:rsid w:val="00EC1592"/>
    <w:rsid w:val="00EC1BF1"/>
    <w:rsid w:val="00EC1E2E"/>
    <w:rsid w:val="00EC2C68"/>
    <w:rsid w:val="00EC7C05"/>
    <w:rsid w:val="00ED1C81"/>
    <w:rsid w:val="00ED206E"/>
    <w:rsid w:val="00ED3BCB"/>
    <w:rsid w:val="00ED459B"/>
    <w:rsid w:val="00ED5767"/>
    <w:rsid w:val="00ED5BD5"/>
    <w:rsid w:val="00EE039B"/>
    <w:rsid w:val="00EF0956"/>
    <w:rsid w:val="00EF0C52"/>
    <w:rsid w:val="00EF1E9D"/>
    <w:rsid w:val="00EF543B"/>
    <w:rsid w:val="00F23CB8"/>
    <w:rsid w:val="00F24A25"/>
    <w:rsid w:val="00F25724"/>
    <w:rsid w:val="00F31FFE"/>
    <w:rsid w:val="00F364AB"/>
    <w:rsid w:val="00F45300"/>
    <w:rsid w:val="00F50325"/>
    <w:rsid w:val="00F538DE"/>
    <w:rsid w:val="00F561AD"/>
    <w:rsid w:val="00F56B96"/>
    <w:rsid w:val="00F60215"/>
    <w:rsid w:val="00F62CB3"/>
    <w:rsid w:val="00F63099"/>
    <w:rsid w:val="00F63583"/>
    <w:rsid w:val="00F6715B"/>
    <w:rsid w:val="00F71E65"/>
    <w:rsid w:val="00F77582"/>
    <w:rsid w:val="00F77924"/>
    <w:rsid w:val="00F83DDE"/>
    <w:rsid w:val="00F85846"/>
    <w:rsid w:val="00F8584D"/>
    <w:rsid w:val="00F90B1A"/>
    <w:rsid w:val="00F915F4"/>
    <w:rsid w:val="00F9352E"/>
    <w:rsid w:val="00FA43F8"/>
    <w:rsid w:val="00FA5BDD"/>
    <w:rsid w:val="00FA5ECD"/>
    <w:rsid w:val="00FB43F2"/>
    <w:rsid w:val="00FB5B0C"/>
    <w:rsid w:val="00FC0744"/>
    <w:rsid w:val="00FC21B7"/>
    <w:rsid w:val="00FC2C44"/>
    <w:rsid w:val="00FC51C3"/>
    <w:rsid w:val="00FC54DF"/>
    <w:rsid w:val="00FC702B"/>
    <w:rsid w:val="00FD34DC"/>
    <w:rsid w:val="00FD5CAE"/>
    <w:rsid w:val="00FD6494"/>
    <w:rsid w:val="00FD7951"/>
    <w:rsid w:val="00FE3A34"/>
    <w:rsid w:val="00FF0321"/>
    <w:rsid w:val="00FF3B78"/>
    <w:rsid w:val="01465CE2"/>
    <w:rsid w:val="015E6182"/>
    <w:rsid w:val="01903A53"/>
    <w:rsid w:val="01AF7ABE"/>
    <w:rsid w:val="01CC4C8A"/>
    <w:rsid w:val="038A3960"/>
    <w:rsid w:val="03FD5C40"/>
    <w:rsid w:val="041516EA"/>
    <w:rsid w:val="0435334F"/>
    <w:rsid w:val="043634E4"/>
    <w:rsid w:val="045C7802"/>
    <w:rsid w:val="05704DD8"/>
    <w:rsid w:val="062F0345"/>
    <w:rsid w:val="06626219"/>
    <w:rsid w:val="06ED50F0"/>
    <w:rsid w:val="08272C43"/>
    <w:rsid w:val="0A0A0346"/>
    <w:rsid w:val="0A333843"/>
    <w:rsid w:val="0B2327BC"/>
    <w:rsid w:val="0B5605CC"/>
    <w:rsid w:val="0B9F0C29"/>
    <w:rsid w:val="0BEA437B"/>
    <w:rsid w:val="0C4F52A5"/>
    <w:rsid w:val="0C86E86C"/>
    <w:rsid w:val="0E115FE8"/>
    <w:rsid w:val="0E4050B0"/>
    <w:rsid w:val="0F31382A"/>
    <w:rsid w:val="106602BF"/>
    <w:rsid w:val="10FC10F0"/>
    <w:rsid w:val="112D6672"/>
    <w:rsid w:val="11743D41"/>
    <w:rsid w:val="11821B0B"/>
    <w:rsid w:val="11F239FF"/>
    <w:rsid w:val="123D4EFA"/>
    <w:rsid w:val="128661D7"/>
    <w:rsid w:val="13AC686A"/>
    <w:rsid w:val="16070BCC"/>
    <w:rsid w:val="160E7A2C"/>
    <w:rsid w:val="176758FC"/>
    <w:rsid w:val="1813039E"/>
    <w:rsid w:val="1817650C"/>
    <w:rsid w:val="181D1670"/>
    <w:rsid w:val="191C4C03"/>
    <w:rsid w:val="1AC812D1"/>
    <w:rsid w:val="1B124510"/>
    <w:rsid w:val="1B154000"/>
    <w:rsid w:val="1B5178FA"/>
    <w:rsid w:val="1C7E637F"/>
    <w:rsid w:val="1CA55822"/>
    <w:rsid w:val="1DF12498"/>
    <w:rsid w:val="1E7A2AF8"/>
    <w:rsid w:val="1EE95F3B"/>
    <w:rsid w:val="1FD7599C"/>
    <w:rsid w:val="20116C9C"/>
    <w:rsid w:val="20960AC2"/>
    <w:rsid w:val="21815C52"/>
    <w:rsid w:val="21A34ECE"/>
    <w:rsid w:val="21E324ED"/>
    <w:rsid w:val="240D271D"/>
    <w:rsid w:val="25BA5ED0"/>
    <w:rsid w:val="26ED7419"/>
    <w:rsid w:val="27FF5D2C"/>
    <w:rsid w:val="290A03D1"/>
    <w:rsid w:val="291B300B"/>
    <w:rsid w:val="294D31DA"/>
    <w:rsid w:val="298D6CEA"/>
    <w:rsid w:val="2ABF0081"/>
    <w:rsid w:val="2B3109E2"/>
    <w:rsid w:val="2B7FEC4E"/>
    <w:rsid w:val="2BF943FB"/>
    <w:rsid w:val="2BFB4B4C"/>
    <w:rsid w:val="2D621E89"/>
    <w:rsid w:val="2D7A3F87"/>
    <w:rsid w:val="2E336EEF"/>
    <w:rsid w:val="2E9C125D"/>
    <w:rsid w:val="2EB462BC"/>
    <w:rsid w:val="2F4D7D91"/>
    <w:rsid w:val="2FBF08D9"/>
    <w:rsid w:val="2FF0248C"/>
    <w:rsid w:val="307C0D76"/>
    <w:rsid w:val="31DB4202"/>
    <w:rsid w:val="32105854"/>
    <w:rsid w:val="327F73BD"/>
    <w:rsid w:val="3422138D"/>
    <w:rsid w:val="352040A2"/>
    <w:rsid w:val="35C91817"/>
    <w:rsid w:val="361138EA"/>
    <w:rsid w:val="36C47FCF"/>
    <w:rsid w:val="36D05553"/>
    <w:rsid w:val="372A1C19"/>
    <w:rsid w:val="3762412B"/>
    <w:rsid w:val="37C33F6F"/>
    <w:rsid w:val="385C4BC4"/>
    <w:rsid w:val="38B1041B"/>
    <w:rsid w:val="3914724D"/>
    <w:rsid w:val="39715D2D"/>
    <w:rsid w:val="3A6727D1"/>
    <w:rsid w:val="3B712B36"/>
    <w:rsid w:val="3B90317B"/>
    <w:rsid w:val="3BD45800"/>
    <w:rsid w:val="3BFFA9DE"/>
    <w:rsid w:val="3C852589"/>
    <w:rsid w:val="3CD84BE5"/>
    <w:rsid w:val="3D000214"/>
    <w:rsid w:val="3D3700F6"/>
    <w:rsid w:val="3D8449A1"/>
    <w:rsid w:val="3E43485C"/>
    <w:rsid w:val="3E6C500A"/>
    <w:rsid w:val="3E842D0A"/>
    <w:rsid w:val="419508FD"/>
    <w:rsid w:val="42313620"/>
    <w:rsid w:val="42A325FD"/>
    <w:rsid w:val="440467DA"/>
    <w:rsid w:val="443D1F31"/>
    <w:rsid w:val="444F5AA3"/>
    <w:rsid w:val="452D0660"/>
    <w:rsid w:val="462A5574"/>
    <w:rsid w:val="46A0755A"/>
    <w:rsid w:val="46E13C8A"/>
    <w:rsid w:val="470774ED"/>
    <w:rsid w:val="47593D5D"/>
    <w:rsid w:val="491B407A"/>
    <w:rsid w:val="49500CB2"/>
    <w:rsid w:val="49583186"/>
    <w:rsid w:val="49FC7FEA"/>
    <w:rsid w:val="4AB24670"/>
    <w:rsid w:val="4B072E5A"/>
    <w:rsid w:val="4B8E354D"/>
    <w:rsid w:val="4C123AC0"/>
    <w:rsid w:val="4C567D36"/>
    <w:rsid w:val="4C7B5261"/>
    <w:rsid w:val="4EA533B8"/>
    <w:rsid w:val="4FC22EBD"/>
    <w:rsid w:val="5221128B"/>
    <w:rsid w:val="53B52EB8"/>
    <w:rsid w:val="546155E5"/>
    <w:rsid w:val="547556AA"/>
    <w:rsid w:val="54E2733B"/>
    <w:rsid w:val="54F02D3B"/>
    <w:rsid w:val="54FE2A13"/>
    <w:rsid w:val="55450A62"/>
    <w:rsid w:val="556B3252"/>
    <w:rsid w:val="55D65B5E"/>
    <w:rsid w:val="564156AD"/>
    <w:rsid w:val="567E6711"/>
    <w:rsid w:val="5683366D"/>
    <w:rsid w:val="56B569A0"/>
    <w:rsid w:val="58CB22E6"/>
    <w:rsid w:val="58E00032"/>
    <w:rsid w:val="5900361E"/>
    <w:rsid w:val="5A227A02"/>
    <w:rsid w:val="5A954B15"/>
    <w:rsid w:val="5ADD2164"/>
    <w:rsid w:val="5B3A7659"/>
    <w:rsid w:val="5B8C24DA"/>
    <w:rsid w:val="5C1178F0"/>
    <w:rsid w:val="5C3F421E"/>
    <w:rsid w:val="5CFF7081"/>
    <w:rsid w:val="5D275AA8"/>
    <w:rsid w:val="5D572D11"/>
    <w:rsid w:val="5DB52288"/>
    <w:rsid w:val="5E7F7871"/>
    <w:rsid w:val="5E977F73"/>
    <w:rsid w:val="5EC8536F"/>
    <w:rsid w:val="5FFEAE87"/>
    <w:rsid w:val="602A71D2"/>
    <w:rsid w:val="609A2993"/>
    <w:rsid w:val="60A3703C"/>
    <w:rsid w:val="60AE14F9"/>
    <w:rsid w:val="60BA0556"/>
    <w:rsid w:val="61535C52"/>
    <w:rsid w:val="61AE36C7"/>
    <w:rsid w:val="62E96480"/>
    <w:rsid w:val="62F85886"/>
    <w:rsid w:val="63B86140"/>
    <w:rsid w:val="64236CF5"/>
    <w:rsid w:val="64844256"/>
    <w:rsid w:val="652B7B3A"/>
    <w:rsid w:val="6630667E"/>
    <w:rsid w:val="66B23D10"/>
    <w:rsid w:val="66B42B90"/>
    <w:rsid w:val="67894337"/>
    <w:rsid w:val="67DB6ACF"/>
    <w:rsid w:val="6934554E"/>
    <w:rsid w:val="69661D47"/>
    <w:rsid w:val="69AD0F9C"/>
    <w:rsid w:val="69E7EB10"/>
    <w:rsid w:val="6A0A597F"/>
    <w:rsid w:val="6B7B15E4"/>
    <w:rsid w:val="6C6E315A"/>
    <w:rsid w:val="6DAC24DE"/>
    <w:rsid w:val="6DB7730C"/>
    <w:rsid w:val="6DDE1163"/>
    <w:rsid w:val="6E2E79AC"/>
    <w:rsid w:val="6FF7C2B1"/>
    <w:rsid w:val="70D359EE"/>
    <w:rsid w:val="70F40417"/>
    <w:rsid w:val="71124D16"/>
    <w:rsid w:val="713F63DE"/>
    <w:rsid w:val="715B3FE6"/>
    <w:rsid w:val="720B4575"/>
    <w:rsid w:val="72413B28"/>
    <w:rsid w:val="725A748B"/>
    <w:rsid w:val="72855E3F"/>
    <w:rsid w:val="73DE6715"/>
    <w:rsid w:val="74521AF4"/>
    <w:rsid w:val="7507E9A9"/>
    <w:rsid w:val="75842A89"/>
    <w:rsid w:val="761D05EE"/>
    <w:rsid w:val="764F1741"/>
    <w:rsid w:val="76803F22"/>
    <w:rsid w:val="77846D70"/>
    <w:rsid w:val="77A70BEA"/>
    <w:rsid w:val="77FB2EA1"/>
    <w:rsid w:val="79B750A1"/>
    <w:rsid w:val="79FE90A5"/>
    <w:rsid w:val="7B3D0369"/>
    <w:rsid w:val="7BE71206"/>
    <w:rsid w:val="7BEA0729"/>
    <w:rsid w:val="7C6D34C7"/>
    <w:rsid w:val="7CFBBBA7"/>
    <w:rsid w:val="7DE14C9D"/>
    <w:rsid w:val="7E77428A"/>
    <w:rsid w:val="7E9476C5"/>
    <w:rsid w:val="7F0A3FFF"/>
    <w:rsid w:val="7FFF8FB7"/>
    <w:rsid w:val="8FF737B2"/>
    <w:rsid w:val="97ED1E6D"/>
    <w:rsid w:val="9A217D56"/>
    <w:rsid w:val="9C5F2959"/>
    <w:rsid w:val="B5716AA5"/>
    <w:rsid w:val="BE7F1F1D"/>
    <w:rsid w:val="BEEFA441"/>
    <w:rsid w:val="EDEF201A"/>
    <w:rsid w:val="F3EFC68B"/>
    <w:rsid w:val="F7DE7B0A"/>
    <w:rsid w:val="FB9F72C9"/>
    <w:rsid w:val="FE57C8A0"/>
    <w:rsid w:val="FEAFAEBC"/>
    <w:rsid w:val="FEFF50FF"/>
    <w:rsid w:val="FF0FB3BF"/>
    <w:rsid w:val="FF6A82B0"/>
    <w:rsid w:val="FFEF6CB1"/>
    <w:rsid w:val="FFF766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6"/>
    <w:unhideWhenUsed/>
    <w:qFormat/>
    <w:uiPriority w:val="9"/>
    <w:p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spacing w:before="260" w:after="260" w:line="413" w:lineRule="auto"/>
      <w:outlineLvl w:val="2"/>
    </w:pPr>
    <w:rPr>
      <w:b/>
      <w:sz w:val="32"/>
    </w:rPr>
  </w:style>
  <w:style w:type="paragraph" w:styleId="5">
    <w:name w:val="heading 4"/>
    <w:basedOn w:val="1"/>
    <w:next w:val="1"/>
    <w:link w:val="22"/>
    <w:semiHidden/>
    <w:unhideWhenUsed/>
    <w:qFormat/>
    <w:uiPriority w:val="9"/>
    <w:pPr>
      <w:tabs>
        <w:tab w:val="left" w:pos="1440"/>
      </w:tabs>
      <w:spacing w:line="400" w:lineRule="exact"/>
      <w:jc w:val="center"/>
      <w:outlineLvl w:val="3"/>
    </w:pPr>
    <w:rPr>
      <w:rFonts w:eastAsia="黑体"/>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pPr>
      <w:ind w:left="112"/>
    </w:pPr>
    <w:rPr>
      <w:rFonts w:ascii="Arial Unicode MS" w:hAnsi="Arial Unicode MS" w:eastAsia="Arial Unicode MS" w:cs="Arial Unicode MS"/>
      <w:sz w:val="20"/>
      <w:szCs w:val="20"/>
    </w:rPr>
  </w:style>
  <w:style w:type="paragraph" w:styleId="7">
    <w:name w:val="toc 3"/>
    <w:basedOn w:val="1"/>
    <w:next w:val="1"/>
    <w:unhideWhenUsed/>
    <w:qFormat/>
    <w:uiPriority w:val="39"/>
    <w:pPr>
      <w:ind w:left="840" w:leftChars="400"/>
    </w:pPr>
  </w:style>
  <w:style w:type="paragraph" w:styleId="8">
    <w:name w:val="Plain Text"/>
    <w:basedOn w:val="1"/>
    <w:link w:val="27"/>
    <w:semiHidden/>
    <w:unhideWhenUsed/>
    <w:qFormat/>
    <w:uiPriority w:val="99"/>
    <w:pPr>
      <w:widowControl/>
      <w:spacing w:before="100" w:beforeAutospacing="1" w:after="100" w:afterAutospacing="1"/>
      <w:jc w:val="left"/>
    </w:pPr>
    <w:rPr>
      <w:rFonts w:ascii="宋体" w:hAnsi="宋体"/>
      <w:color w:val="000000"/>
      <w:kern w:val="0"/>
      <w:sz w:val="24"/>
      <w:lang w:val="zh-CN"/>
    </w:rPr>
  </w:style>
  <w:style w:type="paragraph" w:styleId="9">
    <w:name w:val="Balloon Text"/>
    <w:basedOn w:val="1"/>
    <w:link w:val="20"/>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6">
    <w:name w:val="Table Grid"/>
    <w:basedOn w:val="1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customStyle="1" w:styleId="20">
    <w:name w:val="批注框文本 字符"/>
    <w:basedOn w:val="17"/>
    <w:link w:val="9"/>
    <w:semiHidden/>
    <w:qFormat/>
    <w:uiPriority w:val="99"/>
    <w:rPr>
      <w:rFonts w:ascii="Times New Roman" w:hAnsi="Times New Roman" w:eastAsia="宋体" w:cs="Times New Roman"/>
      <w:sz w:val="18"/>
      <w:szCs w:val="18"/>
    </w:rPr>
  </w:style>
  <w:style w:type="paragraph" w:styleId="21">
    <w:name w:val="List Paragraph"/>
    <w:basedOn w:val="1"/>
    <w:qFormat/>
    <w:uiPriority w:val="34"/>
    <w:pPr>
      <w:ind w:firstLine="420" w:firstLineChars="200"/>
    </w:pPr>
  </w:style>
  <w:style w:type="character" w:customStyle="1" w:styleId="22">
    <w:name w:val="标题 4 字符"/>
    <w:basedOn w:val="17"/>
    <w:link w:val="5"/>
    <w:qFormat/>
    <w:uiPriority w:val="99"/>
    <w:rPr>
      <w:rFonts w:ascii="Times New Roman" w:hAnsi="Times New Roman" w:eastAsia="黑体" w:cs="Times New Roman"/>
      <w:sz w:val="28"/>
      <w:szCs w:val="20"/>
    </w:rPr>
  </w:style>
  <w:style w:type="character" w:customStyle="1" w:styleId="23">
    <w:name w:val="页眉 字符"/>
    <w:basedOn w:val="17"/>
    <w:link w:val="11"/>
    <w:qFormat/>
    <w:uiPriority w:val="99"/>
    <w:rPr>
      <w:rFonts w:ascii="Times New Roman" w:hAnsi="Times New Roman" w:eastAsia="宋体" w:cs="Times New Roman"/>
      <w:sz w:val="18"/>
      <w:szCs w:val="18"/>
    </w:rPr>
  </w:style>
  <w:style w:type="character" w:customStyle="1" w:styleId="24">
    <w:name w:val="页脚 字符"/>
    <w:basedOn w:val="17"/>
    <w:link w:val="10"/>
    <w:qFormat/>
    <w:uiPriority w:val="99"/>
    <w:rPr>
      <w:rFonts w:ascii="Times New Roman" w:hAnsi="Times New Roman" w:eastAsia="宋体" w:cs="Times New Roman"/>
      <w:sz w:val="18"/>
      <w:szCs w:val="18"/>
    </w:rPr>
  </w:style>
  <w:style w:type="character" w:customStyle="1" w:styleId="25">
    <w:name w:val="未处理的提及1"/>
    <w:basedOn w:val="17"/>
    <w:semiHidden/>
    <w:unhideWhenUsed/>
    <w:qFormat/>
    <w:uiPriority w:val="99"/>
    <w:rPr>
      <w:color w:val="605E5C"/>
      <w:shd w:val="clear" w:color="auto" w:fill="E1DFDD"/>
    </w:rPr>
  </w:style>
  <w:style w:type="character" w:customStyle="1" w:styleId="26">
    <w:name w:val="标题 2 字符"/>
    <w:basedOn w:val="17"/>
    <w:link w:val="3"/>
    <w:qFormat/>
    <w:uiPriority w:val="0"/>
    <w:rPr>
      <w:rFonts w:asciiTheme="majorHAnsi" w:hAnsiTheme="majorHAnsi" w:eastAsiaTheme="majorEastAsia" w:cstheme="majorBidi"/>
      <w:b/>
      <w:bCs/>
      <w:sz w:val="32"/>
      <w:szCs w:val="32"/>
    </w:rPr>
  </w:style>
  <w:style w:type="character" w:customStyle="1" w:styleId="27">
    <w:name w:val="纯文本 字符"/>
    <w:basedOn w:val="17"/>
    <w:link w:val="8"/>
    <w:qFormat/>
    <w:uiPriority w:val="0"/>
    <w:rPr>
      <w:rFonts w:ascii="宋体" w:hAnsi="宋体" w:eastAsia="宋体" w:cs="Times New Roman"/>
      <w:color w:val="000000"/>
      <w:kern w:val="0"/>
      <w:sz w:val="24"/>
      <w:szCs w:val="24"/>
      <w:lang w:val="zh-CN" w:eastAsia="zh-CN"/>
    </w:rPr>
  </w:style>
  <w:style w:type="paragraph" w:customStyle="1" w:styleId="28">
    <w:name w:val="分类号"/>
    <w:basedOn w:val="1"/>
    <w:qFormat/>
    <w:uiPriority w:val="0"/>
    <w:rPr>
      <w:rFonts w:ascii="仿宋_GB2312" w:eastAsia="仿宋_GB2312"/>
      <w:sz w:val="28"/>
      <w:szCs w:val="28"/>
    </w:rPr>
  </w:style>
  <w:style w:type="paragraph" w:customStyle="1" w:styleId="29">
    <w:name w:val="封面日期"/>
    <w:basedOn w:val="1"/>
    <w:qFormat/>
    <w:uiPriority w:val="0"/>
    <w:pPr>
      <w:jc w:val="center"/>
    </w:pPr>
    <w:rPr>
      <w:rFonts w:ascii="黑体" w:eastAsia="黑体"/>
      <w:sz w:val="32"/>
      <w:szCs w:val="32"/>
    </w:rPr>
  </w:style>
  <w:style w:type="paragraph" w:customStyle="1" w:styleId="30">
    <w:name w:val="论文标题"/>
    <w:basedOn w:val="1"/>
    <w:qFormat/>
    <w:uiPriority w:val="0"/>
    <w:pPr>
      <w:jc w:val="center"/>
    </w:pPr>
    <w:rPr>
      <w:rFonts w:eastAsia="楷体_GB2312"/>
      <w:b/>
      <w:kern w:val="36"/>
      <w:sz w:val="52"/>
      <w:szCs w:val="52"/>
    </w:rPr>
  </w:style>
  <w:style w:type="paragraph" w:customStyle="1" w:styleId="31">
    <w:name w:val="硕士学位论文"/>
    <w:basedOn w:val="1"/>
    <w:qFormat/>
    <w:uiPriority w:val="0"/>
    <w:pPr>
      <w:spacing w:before="240"/>
      <w:jc w:val="center"/>
    </w:pPr>
    <w:rPr>
      <w:sz w:val="44"/>
      <w:szCs w:val="44"/>
    </w:rPr>
  </w:style>
  <w:style w:type="paragraph" w:customStyle="1" w:styleId="32">
    <w:name w:val="研究生姓名"/>
    <w:basedOn w:val="1"/>
    <w:qFormat/>
    <w:uiPriority w:val="0"/>
    <w:pPr>
      <w:ind w:firstLine="700" w:firstLineChars="700"/>
    </w:pPr>
    <w:rPr>
      <w:sz w:val="28"/>
      <w:szCs w:val="28"/>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5">
    <w:name w:val="Table Text"/>
    <w:basedOn w:val="1"/>
    <w:semiHidden/>
    <w:qFormat/>
    <w:uiPriority w:val="0"/>
    <w:rPr>
      <w:rFonts w:ascii="宋体" w:hAnsi="宋体" w:eastAsia="宋体" w:cs="宋体"/>
      <w:sz w:val="18"/>
      <w:szCs w:val="18"/>
      <w:lang w:val="en-US" w:eastAsia="en-US" w:bidi="ar-SA"/>
    </w:rPr>
  </w:style>
  <w:style w:type="table" w:customStyle="1" w:styleId="36">
    <w:name w:val="Table Normal"/>
    <w:semiHidden/>
    <w:unhideWhenUsed/>
    <w:qFormat/>
    <w:uiPriority w:val="0"/>
    <w:tblPr>
      <w:tblCellMar>
        <w:top w:w="0" w:type="dxa"/>
        <w:left w:w="0" w:type="dxa"/>
        <w:bottom w:w="0" w:type="dxa"/>
        <w:right w:w="0" w:type="dxa"/>
      </w:tblCellMar>
    </w:tblPr>
  </w:style>
  <w:style w:type="paragraph" w:customStyle="1" w:styleId="37">
    <w:name w:val="Table Paragraph"/>
    <w:basedOn w:val="1"/>
    <w:qFormat/>
    <w:uiPriority w:val="99"/>
  </w:style>
  <w:style w:type="paragraph" w:customStyle="1" w:styleId="38">
    <w:name w:val="去正文"/>
    <w:basedOn w:val="1"/>
    <w:qFormat/>
    <w:uiPriority w:val="0"/>
    <w:pPr>
      <w:ind w:firstLine="600"/>
    </w:pPr>
    <w:rPr>
      <w:rFonts w:ascii="仿宋" w:hAnsi="Calibri" w:eastAsia="仿宋"/>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教务处</Company>
  <Pages>41</Pages>
  <Words>3917</Words>
  <Characters>4094</Characters>
  <Lines>40</Lines>
  <Paragraphs>61</Paragraphs>
  <TotalTime>3</TotalTime>
  <ScaleCrop>false</ScaleCrop>
  <LinksUpToDate>false</LinksUpToDate>
  <CharactersWithSpaces>4215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2025-05-24T03:05:00Z</dcterms:created>
  <dc:creator>xiaofei li</dc:creator>
  <cp:lastModifiedBy>胡爽</cp:lastModifiedBy>
  <cp:lastPrinted>2023-06-01T03:10:00Z</cp:lastPrinted>
  <dcterms:modified xsi:type="dcterms:W3CDTF">2026-05-07T03:35:52Z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4BD31444F2BD4398B07749869A3AD7C1_13</vt:lpwstr>
  </property>
  <property fmtid="{D5CDD505-2E9C-101B-9397-08002B2CF9AE}" pid="4" name="KSOTemplateDocerSaveRecord">
    <vt:lpwstr>eyJoZGlkIjoiZjA4N2Q3MDU0ZjMyZjVjYmVmYTE3NWY2YTM3NDBmOTAiLCJ1c2VySWQiOiIyNTE4NjAxODIifQ==</vt:lpwstr>
  </property>
</Properties>
</file>